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692388">
      <w:pPr>
        <w:pStyle w:val="Titre"/>
      </w:pPr>
    </w:p>
    <w:p w14:paraId="513FFDAB" w14:textId="77777777" w:rsidR="00F700E3" w:rsidRDefault="00F700E3" w:rsidP="00692388">
      <w:pPr>
        <w:pStyle w:val="Titre"/>
      </w:pPr>
    </w:p>
    <w:p w14:paraId="34AE45A8" w14:textId="77777777" w:rsidR="00F700E3" w:rsidRPr="0081719C" w:rsidRDefault="00F700E3" w:rsidP="00692388"/>
    <w:p w14:paraId="1CB2FB40" w14:textId="77777777" w:rsidR="00F700E3" w:rsidRPr="0081719C" w:rsidRDefault="00F700E3" w:rsidP="00692388"/>
    <w:p w14:paraId="195D8917" w14:textId="77777777" w:rsidR="00F700E3" w:rsidRPr="0081719C" w:rsidRDefault="00F700E3" w:rsidP="00692388"/>
    <w:p w14:paraId="3460EBBB" w14:textId="77777777" w:rsidR="00F700E3" w:rsidRPr="0081719C" w:rsidRDefault="00F700E3" w:rsidP="00692388">
      <w:pPr>
        <w:pStyle w:val="Corpsdetexte"/>
      </w:pPr>
    </w:p>
    <w:p w14:paraId="05403D81" w14:textId="77777777" w:rsidR="00F700E3" w:rsidRPr="0081719C" w:rsidRDefault="00F700E3" w:rsidP="00692388">
      <w:r w:rsidRPr="0081719C">
        <w:tab/>
      </w:r>
    </w:p>
    <w:tbl>
      <w:tblPr>
        <w:tblW w:w="0" w:type="auto"/>
        <w:tblInd w:w="-1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8587"/>
      </w:tblGrid>
      <w:tr w:rsidR="00F700E3" w:rsidRPr="0081719C" w14:paraId="6E99D205" w14:textId="77777777" w:rsidTr="000F2D1F">
        <w:trPr>
          <w:trHeight w:val="1079"/>
        </w:trPr>
        <w:tc>
          <w:tcPr>
            <w:tcW w:w="8587" w:type="dxa"/>
            <w:shd w:val="clear" w:color="auto" w:fill="B8CCE4" w:themeFill="accent1" w:themeFillTint="66"/>
            <w:vAlign w:val="center"/>
          </w:tcPr>
          <w:p w14:paraId="2C224B59" w14:textId="17A1CFC6" w:rsidR="00AA7022" w:rsidRDefault="00AA7022" w:rsidP="000F2D1F">
            <w:pPr>
              <w:ind w:left="0"/>
              <w:jc w:val="center"/>
            </w:pPr>
            <w:bookmarkStart w:id="0" w:name="_Hlk124941050"/>
            <w:r w:rsidRPr="00AA7022">
              <w:t xml:space="preserve">Cahier des Clauses Techniques </w:t>
            </w:r>
            <w:r w:rsidR="002C6C58">
              <w:t>Administratives Particulières</w:t>
            </w:r>
          </w:p>
          <w:p w14:paraId="44AAFC32" w14:textId="41262DBA" w:rsidR="002C6C58" w:rsidRPr="0081719C" w:rsidRDefault="00F700E3" w:rsidP="000F2D1F">
            <w:pPr>
              <w:jc w:val="center"/>
            </w:pPr>
            <w:r w:rsidRPr="0081719C">
              <w:t>(</w:t>
            </w:r>
            <w:r w:rsidR="00AA7022">
              <w:t>C</w:t>
            </w:r>
            <w:r w:rsidRPr="0081719C">
              <w:t>.</w:t>
            </w:r>
            <w:r w:rsidR="00AA7022">
              <w:t>C.</w:t>
            </w:r>
            <w:r w:rsidR="002C6C58">
              <w:t>A</w:t>
            </w:r>
            <w:r w:rsidR="00AA7022">
              <w:t>.P</w:t>
            </w:r>
            <w:r w:rsidRPr="0081719C">
              <w:t>)</w:t>
            </w:r>
          </w:p>
        </w:tc>
      </w:tr>
    </w:tbl>
    <w:p w14:paraId="1E1AEB13" w14:textId="77777777" w:rsidR="00F700E3" w:rsidRDefault="00F700E3" w:rsidP="00692388"/>
    <w:p w14:paraId="09B9090E" w14:textId="77777777" w:rsidR="00F700E3" w:rsidRPr="0081719C" w:rsidRDefault="00F700E3" w:rsidP="00692388"/>
    <w:tbl>
      <w:tblPr>
        <w:tblW w:w="0" w:type="auto"/>
        <w:tblInd w:w="-13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8579"/>
      </w:tblGrid>
      <w:tr w:rsidR="00F700E3" w:rsidRPr="0081719C" w14:paraId="6C6DA602" w14:textId="77777777" w:rsidTr="000F2D1F">
        <w:trPr>
          <w:trHeight w:val="842"/>
        </w:trPr>
        <w:tc>
          <w:tcPr>
            <w:tcW w:w="8579" w:type="dxa"/>
            <w:shd w:val="clear" w:color="auto" w:fill="B8CCE4" w:themeFill="accent1" w:themeFillTint="66"/>
            <w:vAlign w:val="center"/>
          </w:tcPr>
          <w:p w14:paraId="53410341" w14:textId="77777777" w:rsidR="006912B1" w:rsidRDefault="006912B1" w:rsidP="000F2D1F">
            <w:pPr>
              <w:pStyle w:val="En-tte"/>
              <w:jc w:val="center"/>
            </w:pPr>
          </w:p>
          <w:p w14:paraId="25ACACCB" w14:textId="43A0FF73" w:rsidR="006912B1" w:rsidRPr="006912B1" w:rsidRDefault="00353593" w:rsidP="000F2D1F">
            <w:pPr>
              <w:ind w:left="0"/>
              <w:jc w:val="center"/>
            </w:pPr>
            <w:r>
              <w:t>PESEE DES POSTES</w:t>
            </w:r>
            <w:r w:rsidR="00E71FEE">
              <w:t xml:space="preserve"> du GPM - Guyane</w:t>
            </w:r>
          </w:p>
        </w:tc>
      </w:tr>
      <w:bookmarkEnd w:id="0"/>
    </w:tbl>
    <w:p w14:paraId="458698C2" w14:textId="77777777" w:rsidR="00F700E3" w:rsidRPr="0081719C" w:rsidRDefault="00F700E3" w:rsidP="00692388"/>
    <w:p w14:paraId="0C83A8A8" w14:textId="09D9C29D" w:rsidR="00F700E3" w:rsidRPr="00D67774" w:rsidRDefault="00B81017" w:rsidP="00692388">
      <w:pPr>
        <w:rPr>
          <w:lang w:val="en-ZA"/>
        </w:rPr>
      </w:pPr>
      <w:r w:rsidRPr="00D67774">
        <w:rPr>
          <w:smallCaps/>
          <w:lang w:val="en-ZA"/>
        </w:rPr>
        <w:t xml:space="preserve">CCAP GPM-G </w:t>
      </w:r>
      <w:r w:rsidR="00353593" w:rsidRPr="00C51D33">
        <w:rPr>
          <w:lang w:val="en-US"/>
        </w:rPr>
        <w:t xml:space="preserve">SG 25-03 </w:t>
      </w:r>
      <w:r w:rsidR="00C51D33" w:rsidRPr="00C51D33">
        <w:rPr>
          <w:lang w:val="en-US"/>
        </w:rPr>
        <w:t xml:space="preserve">PESEE </w:t>
      </w:r>
      <w:r w:rsidR="00353593" w:rsidRPr="00C51D33">
        <w:rPr>
          <w:lang w:val="en-US"/>
        </w:rPr>
        <w:t>RX</w:t>
      </w:r>
      <w:r w:rsidR="00353593" w:rsidRPr="00D67774">
        <w:rPr>
          <w:smallCaps/>
          <w:lang w:val="en-ZA"/>
        </w:rPr>
        <w:t xml:space="preserve"> </w:t>
      </w:r>
    </w:p>
    <w:p w14:paraId="13CC7214" w14:textId="4B49E192" w:rsidR="002C2146" w:rsidRDefault="002C2146">
      <w:pPr>
        <w:spacing w:after="200"/>
        <w:ind w:left="0"/>
        <w:jc w:val="left"/>
        <w:rPr>
          <w:lang w:val="en-ZA"/>
        </w:rPr>
      </w:pPr>
      <w:bookmarkStart w:id="1" w:name="_Hlk49864682"/>
      <w:r>
        <w:rPr>
          <w:lang w:val="en-ZA"/>
        </w:rPr>
        <w:br w:type="page"/>
      </w:r>
    </w:p>
    <w:p w14:paraId="3E89FA3A" w14:textId="6FA223E5" w:rsidR="007816B1" w:rsidRDefault="002C2146">
      <w:pPr>
        <w:pStyle w:val="TM1"/>
        <w:tabs>
          <w:tab w:val="left" w:pos="1200"/>
        </w:tabs>
        <w:rPr>
          <w:rFonts w:asciiTheme="minorHAnsi" w:eastAsiaTheme="minorEastAsia" w:hAnsiTheme="minorHAnsi" w:cstheme="minorBidi"/>
          <w:b w:val="0"/>
          <w:bCs w:val="0"/>
          <w:i w:val="0"/>
          <w:iCs w:val="0"/>
          <w:noProof/>
          <w:kern w:val="2"/>
          <w:lang w:val="fr-FR"/>
          <w14:ligatures w14:val="standardContextual"/>
        </w:rPr>
      </w:pPr>
      <w:r>
        <w:rPr>
          <w:b w:val="0"/>
          <w:bCs w:val="0"/>
          <w:i w:val="0"/>
          <w:iCs w:val="0"/>
          <w:noProof/>
          <w:lang w:val="en-ZA"/>
        </w:rPr>
        <w:lastRenderedPageBreak/>
        <w:fldChar w:fldCharType="begin"/>
      </w:r>
      <w:r>
        <w:rPr>
          <w:b w:val="0"/>
          <w:bCs w:val="0"/>
          <w:i w:val="0"/>
          <w:iCs w:val="0"/>
          <w:noProof/>
          <w:lang w:val="en-ZA"/>
        </w:rPr>
        <w:instrText xml:space="preserve"> TOC \o "1-3" \h \z \u </w:instrText>
      </w:r>
      <w:r>
        <w:rPr>
          <w:b w:val="0"/>
          <w:bCs w:val="0"/>
          <w:i w:val="0"/>
          <w:iCs w:val="0"/>
          <w:noProof/>
          <w:lang w:val="en-ZA"/>
        </w:rPr>
        <w:fldChar w:fldCharType="separate"/>
      </w:r>
      <w:hyperlink w:anchor="_Toc196214540" w:history="1">
        <w:r w:rsidR="007816B1" w:rsidRPr="00AB6725">
          <w:rPr>
            <w:rStyle w:val="Lienhypertexte"/>
            <w:noProof/>
          </w:rPr>
          <w:t>Article I.</w:t>
        </w:r>
        <w:r w:rsidR="007816B1">
          <w:rPr>
            <w:rFonts w:asciiTheme="minorHAnsi" w:eastAsiaTheme="minorEastAsia" w:hAnsiTheme="minorHAnsi" w:cstheme="minorBidi"/>
            <w:b w:val="0"/>
            <w:bCs w:val="0"/>
            <w:i w:val="0"/>
            <w:iCs w:val="0"/>
            <w:noProof/>
            <w:kern w:val="2"/>
            <w:lang w:val="fr-FR"/>
            <w14:ligatures w14:val="standardContextual"/>
          </w:rPr>
          <w:tab/>
        </w:r>
        <w:r w:rsidR="007816B1" w:rsidRPr="00AB6725">
          <w:rPr>
            <w:rStyle w:val="Lienhypertexte"/>
            <w:noProof/>
          </w:rPr>
          <w:t>OBJET DU MARCHE</w:t>
        </w:r>
        <w:r w:rsidR="007816B1">
          <w:rPr>
            <w:noProof/>
            <w:webHidden/>
          </w:rPr>
          <w:tab/>
        </w:r>
        <w:r w:rsidR="007816B1">
          <w:rPr>
            <w:noProof/>
            <w:webHidden/>
          </w:rPr>
          <w:fldChar w:fldCharType="begin"/>
        </w:r>
        <w:r w:rsidR="007816B1">
          <w:rPr>
            <w:noProof/>
            <w:webHidden/>
          </w:rPr>
          <w:instrText xml:space="preserve"> PAGEREF _Toc196214540 \h </w:instrText>
        </w:r>
        <w:r w:rsidR="007816B1">
          <w:rPr>
            <w:noProof/>
            <w:webHidden/>
          </w:rPr>
        </w:r>
        <w:r w:rsidR="007816B1">
          <w:rPr>
            <w:noProof/>
            <w:webHidden/>
          </w:rPr>
          <w:fldChar w:fldCharType="separate"/>
        </w:r>
        <w:r w:rsidR="007816B1">
          <w:rPr>
            <w:noProof/>
            <w:webHidden/>
          </w:rPr>
          <w:t>3</w:t>
        </w:r>
        <w:r w:rsidR="007816B1">
          <w:rPr>
            <w:noProof/>
            <w:webHidden/>
          </w:rPr>
          <w:fldChar w:fldCharType="end"/>
        </w:r>
      </w:hyperlink>
    </w:p>
    <w:p w14:paraId="4E515604" w14:textId="30C5E134"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41" w:history="1">
        <w:r w:rsidRPr="00AB6725">
          <w:rPr>
            <w:rStyle w:val="Lienhypertexte"/>
            <w:noProof/>
          </w:rPr>
          <w:t>Section 1.01</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Partie contractante</w:t>
        </w:r>
        <w:r>
          <w:rPr>
            <w:noProof/>
            <w:webHidden/>
          </w:rPr>
          <w:tab/>
        </w:r>
        <w:r>
          <w:rPr>
            <w:noProof/>
            <w:webHidden/>
          </w:rPr>
          <w:fldChar w:fldCharType="begin"/>
        </w:r>
        <w:r>
          <w:rPr>
            <w:noProof/>
            <w:webHidden/>
          </w:rPr>
          <w:instrText xml:space="preserve"> PAGEREF _Toc196214541 \h </w:instrText>
        </w:r>
        <w:r>
          <w:rPr>
            <w:noProof/>
            <w:webHidden/>
          </w:rPr>
        </w:r>
        <w:r>
          <w:rPr>
            <w:noProof/>
            <w:webHidden/>
          </w:rPr>
          <w:fldChar w:fldCharType="separate"/>
        </w:r>
        <w:r>
          <w:rPr>
            <w:noProof/>
            <w:webHidden/>
          </w:rPr>
          <w:t>3</w:t>
        </w:r>
        <w:r>
          <w:rPr>
            <w:noProof/>
            <w:webHidden/>
          </w:rPr>
          <w:fldChar w:fldCharType="end"/>
        </w:r>
      </w:hyperlink>
    </w:p>
    <w:p w14:paraId="215DB437" w14:textId="250403F2"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42" w:history="1">
        <w:r w:rsidRPr="00AB6725">
          <w:rPr>
            <w:rStyle w:val="Lienhypertexte"/>
            <w:noProof/>
          </w:rPr>
          <w:t>Section 1.02</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Objet du marché</w:t>
        </w:r>
        <w:r>
          <w:rPr>
            <w:noProof/>
            <w:webHidden/>
          </w:rPr>
          <w:tab/>
        </w:r>
        <w:r>
          <w:rPr>
            <w:noProof/>
            <w:webHidden/>
          </w:rPr>
          <w:fldChar w:fldCharType="begin"/>
        </w:r>
        <w:r>
          <w:rPr>
            <w:noProof/>
            <w:webHidden/>
          </w:rPr>
          <w:instrText xml:space="preserve"> PAGEREF _Toc196214542 \h </w:instrText>
        </w:r>
        <w:r>
          <w:rPr>
            <w:noProof/>
            <w:webHidden/>
          </w:rPr>
        </w:r>
        <w:r>
          <w:rPr>
            <w:noProof/>
            <w:webHidden/>
          </w:rPr>
          <w:fldChar w:fldCharType="separate"/>
        </w:r>
        <w:r>
          <w:rPr>
            <w:noProof/>
            <w:webHidden/>
          </w:rPr>
          <w:t>3</w:t>
        </w:r>
        <w:r>
          <w:rPr>
            <w:noProof/>
            <w:webHidden/>
          </w:rPr>
          <w:fldChar w:fldCharType="end"/>
        </w:r>
      </w:hyperlink>
    </w:p>
    <w:p w14:paraId="22D776E0" w14:textId="4CF17D9B"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43" w:history="1">
        <w:r w:rsidRPr="00AB6725">
          <w:rPr>
            <w:rStyle w:val="Lienhypertexte"/>
            <w:noProof/>
          </w:rPr>
          <w:t>Section 1.03</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Montant maximum</w:t>
        </w:r>
        <w:r>
          <w:rPr>
            <w:noProof/>
            <w:webHidden/>
          </w:rPr>
          <w:tab/>
        </w:r>
        <w:r>
          <w:rPr>
            <w:noProof/>
            <w:webHidden/>
          </w:rPr>
          <w:fldChar w:fldCharType="begin"/>
        </w:r>
        <w:r>
          <w:rPr>
            <w:noProof/>
            <w:webHidden/>
          </w:rPr>
          <w:instrText xml:space="preserve"> PAGEREF _Toc196214543 \h </w:instrText>
        </w:r>
        <w:r>
          <w:rPr>
            <w:noProof/>
            <w:webHidden/>
          </w:rPr>
        </w:r>
        <w:r>
          <w:rPr>
            <w:noProof/>
            <w:webHidden/>
          </w:rPr>
          <w:fldChar w:fldCharType="separate"/>
        </w:r>
        <w:r>
          <w:rPr>
            <w:noProof/>
            <w:webHidden/>
          </w:rPr>
          <w:t>3</w:t>
        </w:r>
        <w:r>
          <w:rPr>
            <w:noProof/>
            <w:webHidden/>
          </w:rPr>
          <w:fldChar w:fldCharType="end"/>
        </w:r>
      </w:hyperlink>
    </w:p>
    <w:p w14:paraId="3EF8417F" w14:textId="5B9979AC"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44" w:history="1">
        <w:r w:rsidRPr="00AB6725">
          <w:rPr>
            <w:rStyle w:val="Lienhypertexte"/>
            <w:noProof/>
          </w:rPr>
          <w:t>Section 1.04</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Durée</w:t>
        </w:r>
        <w:r>
          <w:rPr>
            <w:noProof/>
            <w:webHidden/>
          </w:rPr>
          <w:tab/>
        </w:r>
        <w:r>
          <w:rPr>
            <w:noProof/>
            <w:webHidden/>
          </w:rPr>
          <w:fldChar w:fldCharType="begin"/>
        </w:r>
        <w:r>
          <w:rPr>
            <w:noProof/>
            <w:webHidden/>
          </w:rPr>
          <w:instrText xml:space="preserve"> PAGEREF _Toc196214544 \h </w:instrText>
        </w:r>
        <w:r>
          <w:rPr>
            <w:noProof/>
            <w:webHidden/>
          </w:rPr>
        </w:r>
        <w:r>
          <w:rPr>
            <w:noProof/>
            <w:webHidden/>
          </w:rPr>
          <w:fldChar w:fldCharType="separate"/>
        </w:r>
        <w:r>
          <w:rPr>
            <w:noProof/>
            <w:webHidden/>
          </w:rPr>
          <w:t>3</w:t>
        </w:r>
        <w:r>
          <w:rPr>
            <w:noProof/>
            <w:webHidden/>
          </w:rPr>
          <w:fldChar w:fldCharType="end"/>
        </w:r>
      </w:hyperlink>
    </w:p>
    <w:p w14:paraId="54F581F9" w14:textId="343590D8"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45" w:history="1">
        <w:r w:rsidRPr="00AB6725">
          <w:rPr>
            <w:rStyle w:val="Lienhypertexte"/>
            <w:noProof/>
          </w:rPr>
          <w:t>Section 1.05</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Renouvellement</w:t>
        </w:r>
        <w:r>
          <w:rPr>
            <w:noProof/>
            <w:webHidden/>
          </w:rPr>
          <w:tab/>
        </w:r>
        <w:r>
          <w:rPr>
            <w:noProof/>
            <w:webHidden/>
          </w:rPr>
          <w:fldChar w:fldCharType="begin"/>
        </w:r>
        <w:r>
          <w:rPr>
            <w:noProof/>
            <w:webHidden/>
          </w:rPr>
          <w:instrText xml:space="preserve"> PAGEREF _Toc196214545 \h </w:instrText>
        </w:r>
        <w:r>
          <w:rPr>
            <w:noProof/>
            <w:webHidden/>
          </w:rPr>
        </w:r>
        <w:r>
          <w:rPr>
            <w:noProof/>
            <w:webHidden/>
          </w:rPr>
          <w:fldChar w:fldCharType="separate"/>
        </w:r>
        <w:r>
          <w:rPr>
            <w:noProof/>
            <w:webHidden/>
          </w:rPr>
          <w:t>3</w:t>
        </w:r>
        <w:r>
          <w:rPr>
            <w:noProof/>
            <w:webHidden/>
          </w:rPr>
          <w:fldChar w:fldCharType="end"/>
        </w:r>
      </w:hyperlink>
    </w:p>
    <w:p w14:paraId="69880951" w14:textId="3A187AD7" w:rsidR="007816B1" w:rsidRDefault="007816B1">
      <w:pPr>
        <w:pStyle w:val="TM1"/>
        <w:tabs>
          <w:tab w:val="left" w:pos="1200"/>
        </w:tabs>
        <w:rPr>
          <w:rFonts w:asciiTheme="minorHAnsi" w:eastAsiaTheme="minorEastAsia" w:hAnsiTheme="minorHAnsi" w:cstheme="minorBidi"/>
          <w:b w:val="0"/>
          <w:bCs w:val="0"/>
          <w:i w:val="0"/>
          <w:iCs w:val="0"/>
          <w:noProof/>
          <w:kern w:val="2"/>
          <w:lang w:val="fr-FR"/>
          <w14:ligatures w14:val="standardContextual"/>
        </w:rPr>
      </w:pPr>
      <w:hyperlink w:anchor="_Toc196214546" w:history="1">
        <w:r w:rsidRPr="00AB6725">
          <w:rPr>
            <w:rStyle w:val="Lienhypertexte"/>
            <w:noProof/>
          </w:rPr>
          <w:t>Article II.</w:t>
        </w:r>
        <w:r>
          <w:rPr>
            <w:rFonts w:asciiTheme="minorHAnsi" w:eastAsiaTheme="minorEastAsia" w:hAnsiTheme="minorHAnsi" w:cstheme="minorBidi"/>
            <w:b w:val="0"/>
            <w:bCs w:val="0"/>
            <w:i w:val="0"/>
            <w:iCs w:val="0"/>
            <w:noProof/>
            <w:kern w:val="2"/>
            <w:lang w:val="fr-FR"/>
            <w14:ligatures w14:val="standardContextual"/>
          </w:rPr>
          <w:tab/>
        </w:r>
        <w:r w:rsidRPr="00AB6725">
          <w:rPr>
            <w:rStyle w:val="Lienhypertexte"/>
            <w:noProof/>
          </w:rPr>
          <w:t>PIECES CONSTITUTIVES DU MARCHE</w:t>
        </w:r>
        <w:r>
          <w:rPr>
            <w:noProof/>
            <w:webHidden/>
          </w:rPr>
          <w:tab/>
        </w:r>
        <w:r>
          <w:rPr>
            <w:noProof/>
            <w:webHidden/>
          </w:rPr>
          <w:fldChar w:fldCharType="begin"/>
        </w:r>
        <w:r>
          <w:rPr>
            <w:noProof/>
            <w:webHidden/>
          </w:rPr>
          <w:instrText xml:space="preserve"> PAGEREF _Toc196214546 \h </w:instrText>
        </w:r>
        <w:r>
          <w:rPr>
            <w:noProof/>
            <w:webHidden/>
          </w:rPr>
        </w:r>
        <w:r>
          <w:rPr>
            <w:noProof/>
            <w:webHidden/>
          </w:rPr>
          <w:fldChar w:fldCharType="separate"/>
        </w:r>
        <w:r>
          <w:rPr>
            <w:noProof/>
            <w:webHidden/>
          </w:rPr>
          <w:t>3</w:t>
        </w:r>
        <w:r>
          <w:rPr>
            <w:noProof/>
            <w:webHidden/>
          </w:rPr>
          <w:fldChar w:fldCharType="end"/>
        </w:r>
      </w:hyperlink>
    </w:p>
    <w:p w14:paraId="22DA5CCB" w14:textId="69AF7B85"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47" w:history="1">
        <w:r w:rsidRPr="00AB6725">
          <w:rPr>
            <w:rStyle w:val="Lienhypertexte"/>
            <w:noProof/>
          </w:rPr>
          <w:t>Section 2.01</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Les Pièces particulières</w:t>
        </w:r>
        <w:r>
          <w:rPr>
            <w:noProof/>
            <w:webHidden/>
          </w:rPr>
          <w:tab/>
        </w:r>
        <w:r>
          <w:rPr>
            <w:noProof/>
            <w:webHidden/>
          </w:rPr>
          <w:fldChar w:fldCharType="begin"/>
        </w:r>
        <w:r>
          <w:rPr>
            <w:noProof/>
            <w:webHidden/>
          </w:rPr>
          <w:instrText xml:space="preserve"> PAGEREF _Toc196214547 \h </w:instrText>
        </w:r>
        <w:r>
          <w:rPr>
            <w:noProof/>
            <w:webHidden/>
          </w:rPr>
        </w:r>
        <w:r>
          <w:rPr>
            <w:noProof/>
            <w:webHidden/>
          </w:rPr>
          <w:fldChar w:fldCharType="separate"/>
        </w:r>
        <w:r>
          <w:rPr>
            <w:noProof/>
            <w:webHidden/>
          </w:rPr>
          <w:t>3</w:t>
        </w:r>
        <w:r>
          <w:rPr>
            <w:noProof/>
            <w:webHidden/>
          </w:rPr>
          <w:fldChar w:fldCharType="end"/>
        </w:r>
      </w:hyperlink>
    </w:p>
    <w:p w14:paraId="2E268E98" w14:textId="77454872"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48" w:history="1">
        <w:r w:rsidRPr="00AB6725">
          <w:rPr>
            <w:rStyle w:val="Lienhypertexte"/>
            <w:noProof/>
          </w:rPr>
          <w:t>Section 2.02</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Les pièces générales (*)</w:t>
        </w:r>
        <w:r>
          <w:rPr>
            <w:noProof/>
            <w:webHidden/>
          </w:rPr>
          <w:tab/>
        </w:r>
        <w:r>
          <w:rPr>
            <w:noProof/>
            <w:webHidden/>
          </w:rPr>
          <w:fldChar w:fldCharType="begin"/>
        </w:r>
        <w:r>
          <w:rPr>
            <w:noProof/>
            <w:webHidden/>
          </w:rPr>
          <w:instrText xml:space="preserve"> PAGEREF _Toc196214548 \h </w:instrText>
        </w:r>
        <w:r>
          <w:rPr>
            <w:noProof/>
            <w:webHidden/>
          </w:rPr>
        </w:r>
        <w:r>
          <w:rPr>
            <w:noProof/>
            <w:webHidden/>
          </w:rPr>
          <w:fldChar w:fldCharType="separate"/>
        </w:r>
        <w:r>
          <w:rPr>
            <w:noProof/>
            <w:webHidden/>
          </w:rPr>
          <w:t>4</w:t>
        </w:r>
        <w:r>
          <w:rPr>
            <w:noProof/>
            <w:webHidden/>
          </w:rPr>
          <w:fldChar w:fldCharType="end"/>
        </w:r>
      </w:hyperlink>
    </w:p>
    <w:p w14:paraId="18393590" w14:textId="4EA11865" w:rsidR="007816B1" w:rsidRDefault="007816B1">
      <w:pPr>
        <w:pStyle w:val="TM1"/>
        <w:tabs>
          <w:tab w:val="left" w:pos="1200"/>
        </w:tabs>
        <w:rPr>
          <w:rFonts w:asciiTheme="minorHAnsi" w:eastAsiaTheme="minorEastAsia" w:hAnsiTheme="minorHAnsi" w:cstheme="minorBidi"/>
          <w:b w:val="0"/>
          <w:bCs w:val="0"/>
          <w:i w:val="0"/>
          <w:iCs w:val="0"/>
          <w:noProof/>
          <w:kern w:val="2"/>
          <w:lang w:val="fr-FR"/>
          <w14:ligatures w14:val="standardContextual"/>
        </w:rPr>
      </w:pPr>
      <w:hyperlink w:anchor="_Toc196214549" w:history="1">
        <w:r w:rsidRPr="00AB6725">
          <w:rPr>
            <w:rStyle w:val="Lienhypertexte"/>
            <w:noProof/>
          </w:rPr>
          <w:t>Article III.</w:t>
        </w:r>
        <w:r>
          <w:rPr>
            <w:rFonts w:asciiTheme="minorHAnsi" w:eastAsiaTheme="minorEastAsia" w:hAnsiTheme="minorHAnsi" w:cstheme="minorBidi"/>
            <w:b w:val="0"/>
            <w:bCs w:val="0"/>
            <w:i w:val="0"/>
            <w:iCs w:val="0"/>
            <w:noProof/>
            <w:kern w:val="2"/>
            <w:lang w:val="fr-FR"/>
            <w14:ligatures w14:val="standardContextual"/>
          </w:rPr>
          <w:tab/>
        </w:r>
        <w:r w:rsidRPr="00AB6725">
          <w:rPr>
            <w:rStyle w:val="Lienhypertexte"/>
            <w:noProof/>
          </w:rPr>
          <w:t>PRIX – REVISION DES PRIX</w:t>
        </w:r>
        <w:r>
          <w:rPr>
            <w:noProof/>
            <w:webHidden/>
          </w:rPr>
          <w:tab/>
        </w:r>
        <w:r>
          <w:rPr>
            <w:noProof/>
            <w:webHidden/>
          </w:rPr>
          <w:fldChar w:fldCharType="begin"/>
        </w:r>
        <w:r>
          <w:rPr>
            <w:noProof/>
            <w:webHidden/>
          </w:rPr>
          <w:instrText xml:space="preserve"> PAGEREF _Toc196214549 \h </w:instrText>
        </w:r>
        <w:r>
          <w:rPr>
            <w:noProof/>
            <w:webHidden/>
          </w:rPr>
        </w:r>
        <w:r>
          <w:rPr>
            <w:noProof/>
            <w:webHidden/>
          </w:rPr>
          <w:fldChar w:fldCharType="separate"/>
        </w:r>
        <w:r>
          <w:rPr>
            <w:noProof/>
            <w:webHidden/>
          </w:rPr>
          <w:t>4</w:t>
        </w:r>
        <w:r>
          <w:rPr>
            <w:noProof/>
            <w:webHidden/>
          </w:rPr>
          <w:fldChar w:fldCharType="end"/>
        </w:r>
      </w:hyperlink>
    </w:p>
    <w:p w14:paraId="65C88EB5" w14:textId="294D1A17"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50" w:history="1">
        <w:r w:rsidRPr="00AB6725">
          <w:rPr>
            <w:rStyle w:val="Lienhypertexte"/>
            <w:noProof/>
          </w:rPr>
          <w:t>Section 3.01</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Formes des prix</w:t>
        </w:r>
        <w:r>
          <w:rPr>
            <w:noProof/>
            <w:webHidden/>
          </w:rPr>
          <w:tab/>
        </w:r>
        <w:r>
          <w:rPr>
            <w:noProof/>
            <w:webHidden/>
          </w:rPr>
          <w:fldChar w:fldCharType="begin"/>
        </w:r>
        <w:r>
          <w:rPr>
            <w:noProof/>
            <w:webHidden/>
          </w:rPr>
          <w:instrText xml:space="preserve"> PAGEREF _Toc196214550 \h </w:instrText>
        </w:r>
        <w:r>
          <w:rPr>
            <w:noProof/>
            <w:webHidden/>
          </w:rPr>
        </w:r>
        <w:r>
          <w:rPr>
            <w:noProof/>
            <w:webHidden/>
          </w:rPr>
          <w:fldChar w:fldCharType="separate"/>
        </w:r>
        <w:r>
          <w:rPr>
            <w:noProof/>
            <w:webHidden/>
          </w:rPr>
          <w:t>4</w:t>
        </w:r>
        <w:r>
          <w:rPr>
            <w:noProof/>
            <w:webHidden/>
          </w:rPr>
          <w:fldChar w:fldCharType="end"/>
        </w:r>
      </w:hyperlink>
    </w:p>
    <w:p w14:paraId="5A1794D6" w14:textId="64A97742"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51" w:history="1">
        <w:r w:rsidRPr="00AB6725">
          <w:rPr>
            <w:rStyle w:val="Lienhypertexte"/>
            <w:noProof/>
          </w:rPr>
          <w:t>Section 3.02</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Unités d’œuvre</w:t>
        </w:r>
        <w:r>
          <w:rPr>
            <w:noProof/>
            <w:webHidden/>
          </w:rPr>
          <w:tab/>
        </w:r>
        <w:r>
          <w:rPr>
            <w:noProof/>
            <w:webHidden/>
          </w:rPr>
          <w:fldChar w:fldCharType="begin"/>
        </w:r>
        <w:r>
          <w:rPr>
            <w:noProof/>
            <w:webHidden/>
          </w:rPr>
          <w:instrText xml:space="preserve"> PAGEREF _Toc196214551 \h </w:instrText>
        </w:r>
        <w:r>
          <w:rPr>
            <w:noProof/>
            <w:webHidden/>
          </w:rPr>
        </w:r>
        <w:r>
          <w:rPr>
            <w:noProof/>
            <w:webHidden/>
          </w:rPr>
          <w:fldChar w:fldCharType="separate"/>
        </w:r>
        <w:r>
          <w:rPr>
            <w:noProof/>
            <w:webHidden/>
          </w:rPr>
          <w:t>4</w:t>
        </w:r>
        <w:r>
          <w:rPr>
            <w:noProof/>
            <w:webHidden/>
          </w:rPr>
          <w:fldChar w:fldCharType="end"/>
        </w:r>
      </w:hyperlink>
    </w:p>
    <w:p w14:paraId="55B5C2D6" w14:textId="5E0190A4"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52" w:history="1">
        <w:r w:rsidRPr="00AB6725">
          <w:rPr>
            <w:rStyle w:val="Lienhypertexte"/>
            <w:noProof/>
          </w:rPr>
          <w:t>(a)</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Notion de campagne :</w:t>
        </w:r>
        <w:r>
          <w:rPr>
            <w:noProof/>
            <w:webHidden/>
          </w:rPr>
          <w:tab/>
        </w:r>
        <w:r>
          <w:rPr>
            <w:noProof/>
            <w:webHidden/>
          </w:rPr>
          <w:fldChar w:fldCharType="begin"/>
        </w:r>
        <w:r>
          <w:rPr>
            <w:noProof/>
            <w:webHidden/>
          </w:rPr>
          <w:instrText xml:space="preserve"> PAGEREF _Toc196214552 \h </w:instrText>
        </w:r>
        <w:r>
          <w:rPr>
            <w:noProof/>
            <w:webHidden/>
          </w:rPr>
        </w:r>
        <w:r>
          <w:rPr>
            <w:noProof/>
            <w:webHidden/>
          </w:rPr>
          <w:fldChar w:fldCharType="separate"/>
        </w:r>
        <w:r>
          <w:rPr>
            <w:noProof/>
            <w:webHidden/>
          </w:rPr>
          <w:t>4</w:t>
        </w:r>
        <w:r>
          <w:rPr>
            <w:noProof/>
            <w:webHidden/>
          </w:rPr>
          <w:fldChar w:fldCharType="end"/>
        </w:r>
      </w:hyperlink>
    </w:p>
    <w:p w14:paraId="39007791" w14:textId="79189533"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53" w:history="1">
        <w:r w:rsidRPr="00AB6725">
          <w:rPr>
            <w:rStyle w:val="Lienhypertexte"/>
            <w:noProof/>
          </w:rPr>
          <w:t>(b)</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Déclinaison des UO par frais fixes et frais par dossier :</w:t>
        </w:r>
        <w:r>
          <w:rPr>
            <w:noProof/>
            <w:webHidden/>
          </w:rPr>
          <w:tab/>
        </w:r>
        <w:r>
          <w:rPr>
            <w:noProof/>
            <w:webHidden/>
          </w:rPr>
          <w:fldChar w:fldCharType="begin"/>
        </w:r>
        <w:r>
          <w:rPr>
            <w:noProof/>
            <w:webHidden/>
          </w:rPr>
          <w:instrText xml:space="preserve"> PAGEREF _Toc196214553 \h </w:instrText>
        </w:r>
        <w:r>
          <w:rPr>
            <w:noProof/>
            <w:webHidden/>
          </w:rPr>
        </w:r>
        <w:r>
          <w:rPr>
            <w:noProof/>
            <w:webHidden/>
          </w:rPr>
          <w:fldChar w:fldCharType="separate"/>
        </w:r>
        <w:r>
          <w:rPr>
            <w:noProof/>
            <w:webHidden/>
          </w:rPr>
          <w:t>4</w:t>
        </w:r>
        <w:r>
          <w:rPr>
            <w:noProof/>
            <w:webHidden/>
          </w:rPr>
          <w:fldChar w:fldCharType="end"/>
        </w:r>
      </w:hyperlink>
    </w:p>
    <w:p w14:paraId="61F7B7C3" w14:textId="0151816A"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54" w:history="1">
        <w:r w:rsidRPr="00AB6725">
          <w:rPr>
            <w:rStyle w:val="Lienhypertexte"/>
            <w:noProof/>
          </w:rPr>
          <w:t>(c)</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Type de mission :</w:t>
        </w:r>
        <w:r>
          <w:rPr>
            <w:noProof/>
            <w:webHidden/>
          </w:rPr>
          <w:tab/>
        </w:r>
        <w:r>
          <w:rPr>
            <w:noProof/>
            <w:webHidden/>
          </w:rPr>
          <w:fldChar w:fldCharType="begin"/>
        </w:r>
        <w:r>
          <w:rPr>
            <w:noProof/>
            <w:webHidden/>
          </w:rPr>
          <w:instrText xml:space="preserve"> PAGEREF _Toc196214554 \h </w:instrText>
        </w:r>
        <w:r>
          <w:rPr>
            <w:noProof/>
            <w:webHidden/>
          </w:rPr>
        </w:r>
        <w:r>
          <w:rPr>
            <w:noProof/>
            <w:webHidden/>
          </w:rPr>
          <w:fldChar w:fldCharType="separate"/>
        </w:r>
        <w:r>
          <w:rPr>
            <w:noProof/>
            <w:webHidden/>
          </w:rPr>
          <w:t>4</w:t>
        </w:r>
        <w:r>
          <w:rPr>
            <w:noProof/>
            <w:webHidden/>
          </w:rPr>
          <w:fldChar w:fldCharType="end"/>
        </w:r>
      </w:hyperlink>
    </w:p>
    <w:p w14:paraId="7751959E" w14:textId="52AFB46A"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55" w:history="1">
        <w:r w:rsidRPr="00AB6725">
          <w:rPr>
            <w:rStyle w:val="Lienhypertexte"/>
            <w:noProof/>
          </w:rPr>
          <w:t>(d)</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En résumé :</w:t>
        </w:r>
        <w:r>
          <w:rPr>
            <w:noProof/>
            <w:webHidden/>
          </w:rPr>
          <w:tab/>
        </w:r>
        <w:r>
          <w:rPr>
            <w:noProof/>
            <w:webHidden/>
          </w:rPr>
          <w:fldChar w:fldCharType="begin"/>
        </w:r>
        <w:r>
          <w:rPr>
            <w:noProof/>
            <w:webHidden/>
          </w:rPr>
          <w:instrText xml:space="preserve"> PAGEREF _Toc196214555 \h </w:instrText>
        </w:r>
        <w:r>
          <w:rPr>
            <w:noProof/>
            <w:webHidden/>
          </w:rPr>
        </w:r>
        <w:r>
          <w:rPr>
            <w:noProof/>
            <w:webHidden/>
          </w:rPr>
          <w:fldChar w:fldCharType="separate"/>
        </w:r>
        <w:r>
          <w:rPr>
            <w:noProof/>
            <w:webHidden/>
          </w:rPr>
          <w:t>4</w:t>
        </w:r>
        <w:r>
          <w:rPr>
            <w:noProof/>
            <w:webHidden/>
          </w:rPr>
          <w:fldChar w:fldCharType="end"/>
        </w:r>
      </w:hyperlink>
    </w:p>
    <w:p w14:paraId="0FE5D02D" w14:textId="20277157"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56" w:history="1">
        <w:r w:rsidRPr="00AB6725">
          <w:rPr>
            <w:rStyle w:val="Lienhypertexte"/>
            <w:noProof/>
          </w:rPr>
          <w:t>Section 3.03</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Contenu des prix</w:t>
        </w:r>
        <w:r>
          <w:rPr>
            <w:noProof/>
            <w:webHidden/>
          </w:rPr>
          <w:tab/>
        </w:r>
        <w:r>
          <w:rPr>
            <w:noProof/>
            <w:webHidden/>
          </w:rPr>
          <w:fldChar w:fldCharType="begin"/>
        </w:r>
        <w:r>
          <w:rPr>
            <w:noProof/>
            <w:webHidden/>
          </w:rPr>
          <w:instrText xml:space="preserve"> PAGEREF _Toc196214556 \h </w:instrText>
        </w:r>
        <w:r>
          <w:rPr>
            <w:noProof/>
            <w:webHidden/>
          </w:rPr>
        </w:r>
        <w:r>
          <w:rPr>
            <w:noProof/>
            <w:webHidden/>
          </w:rPr>
          <w:fldChar w:fldCharType="separate"/>
        </w:r>
        <w:r>
          <w:rPr>
            <w:noProof/>
            <w:webHidden/>
          </w:rPr>
          <w:t>5</w:t>
        </w:r>
        <w:r>
          <w:rPr>
            <w:noProof/>
            <w:webHidden/>
          </w:rPr>
          <w:fldChar w:fldCharType="end"/>
        </w:r>
      </w:hyperlink>
    </w:p>
    <w:p w14:paraId="7E7018E6" w14:textId="4A7DA6DB"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57" w:history="1">
        <w:r w:rsidRPr="00AB6725">
          <w:rPr>
            <w:rStyle w:val="Lienhypertexte"/>
            <w:noProof/>
          </w:rPr>
          <w:t>(a)</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Dans le cas des déplacements :</w:t>
        </w:r>
        <w:r>
          <w:rPr>
            <w:noProof/>
            <w:webHidden/>
          </w:rPr>
          <w:tab/>
        </w:r>
        <w:r>
          <w:rPr>
            <w:noProof/>
            <w:webHidden/>
          </w:rPr>
          <w:fldChar w:fldCharType="begin"/>
        </w:r>
        <w:r>
          <w:rPr>
            <w:noProof/>
            <w:webHidden/>
          </w:rPr>
          <w:instrText xml:space="preserve"> PAGEREF _Toc196214557 \h </w:instrText>
        </w:r>
        <w:r>
          <w:rPr>
            <w:noProof/>
            <w:webHidden/>
          </w:rPr>
        </w:r>
        <w:r>
          <w:rPr>
            <w:noProof/>
            <w:webHidden/>
          </w:rPr>
          <w:fldChar w:fldCharType="separate"/>
        </w:r>
        <w:r>
          <w:rPr>
            <w:noProof/>
            <w:webHidden/>
          </w:rPr>
          <w:t>5</w:t>
        </w:r>
        <w:r>
          <w:rPr>
            <w:noProof/>
            <w:webHidden/>
          </w:rPr>
          <w:fldChar w:fldCharType="end"/>
        </w:r>
      </w:hyperlink>
    </w:p>
    <w:p w14:paraId="2D78257E" w14:textId="66DDA754"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58" w:history="1">
        <w:r w:rsidRPr="00AB6725">
          <w:rPr>
            <w:rStyle w:val="Lienhypertexte"/>
            <w:noProof/>
          </w:rPr>
          <w:t>Section 3.04</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Révision des prix</w:t>
        </w:r>
        <w:r>
          <w:rPr>
            <w:noProof/>
            <w:webHidden/>
          </w:rPr>
          <w:tab/>
        </w:r>
        <w:r>
          <w:rPr>
            <w:noProof/>
            <w:webHidden/>
          </w:rPr>
          <w:fldChar w:fldCharType="begin"/>
        </w:r>
        <w:r>
          <w:rPr>
            <w:noProof/>
            <w:webHidden/>
          </w:rPr>
          <w:instrText xml:space="preserve"> PAGEREF _Toc196214558 \h </w:instrText>
        </w:r>
        <w:r>
          <w:rPr>
            <w:noProof/>
            <w:webHidden/>
          </w:rPr>
        </w:r>
        <w:r>
          <w:rPr>
            <w:noProof/>
            <w:webHidden/>
          </w:rPr>
          <w:fldChar w:fldCharType="separate"/>
        </w:r>
        <w:r>
          <w:rPr>
            <w:noProof/>
            <w:webHidden/>
          </w:rPr>
          <w:t>5</w:t>
        </w:r>
        <w:r>
          <w:rPr>
            <w:noProof/>
            <w:webHidden/>
          </w:rPr>
          <w:fldChar w:fldCharType="end"/>
        </w:r>
      </w:hyperlink>
    </w:p>
    <w:p w14:paraId="75432903" w14:textId="2770922B" w:rsidR="007816B1" w:rsidRDefault="007816B1">
      <w:pPr>
        <w:pStyle w:val="TM1"/>
        <w:tabs>
          <w:tab w:val="left" w:pos="1400"/>
        </w:tabs>
        <w:rPr>
          <w:rFonts w:asciiTheme="minorHAnsi" w:eastAsiaTheme="minorEastAsia" w:hAnsiTheme="minorHAnsi" w:cstheme="minorBidi"/>
          <w:b w:val="0"/>
          <w:bCs w:val="0"/>
          <w:i w:val="0"/>
          <w:iCs w:val="0"/>
          <w:noProof/>
          <w:kern w:val="2"/>
          <w:lang w:val="fr-FR"/>
          <w14:ligatures w14:val="standardContextual"/>
        </w:rPr>
      </w:pPr>
      <w:hyperlink w:anchor="_Toc196214559" w:history="1">
        <w:r w:rsidRPr="00AB6725">
          <w:rPr>
            <w:rStyle w:val="Lienhypertexte"/>
            <w:noProof/>
          </w:rPr>
          <w:t>Article IV.</w:t>
        </w:r>
        <w:r>
          <w:rPr>
            <w:rFonts w:asciiTheme="minorHAnsi" w:eastAsiaTheme="minorEastAsia" w:hAnsiTheme="minorHAnsi" w:cstheme="minorBidi"/>
            <w:b w:val="0"/>
            <w:bCs w:val="0"/>
            <w:i w:val="0"/>
            <w:iCs w:val="0"/>
            <w:noProof/>
            <w:kern w:val="2"/>
            <w:lang w:val="fr-FR"/>
            <w14:ligatures w14:val="standardContextual"/>
          </w:rPr>
          <w:tab/>
        </w:r>
        <w:r w:rsidRPr="00AB6725">
          <w:rPr>
            <w:rStyle w:val="Lienhypertexte"/>
            <w:noProof/>
          </w:rPr>
          <w:t>MODE DE FACTURATION</w:t>
        </w:r>
        <w:r>
          <w:rPr>
            <w:noProof/>
            <w:webHidden/>
          </w:rPr>
          <w:tab/>
        </w:r>
        <w:r>
          <w:rPr>
            <w:noProof/>
            <w:webHidden/>
          </w:rPr>
          <w:fldChar w:fldCharType="begin"/>
        </w:r>
        <w:r>
          <w:rPr>
            <w:noProof/>
            <w:webHidden/>
          </w:rPr>
          <w:instrText xml:space="preserve"> PAGEREF _Toc196214559 \h </w:instrText>
        </w:r>
        <w:r>
          <w:rPr>
            <w:noProof/>
            <w:webHidden/>
          </w:rPr>
        </w:r>
        <w:r>
          <w:rPr>
            <w:noProof/>
            <w:webHidden/>
          </w:rPr>
          <w:fldChar w:fldCharType="separate"/>
        </w:r>
        <w:r>
          <w:rPr>
            <w:noProof/>
            <w:webHidden/>
          </w:rPr>
          <w:t>5</w:t>
        </w:r>
        <w:r>
          <w:rPr>
            <w:noProof/>
            <w:webHidden/>
          </w:rPr>
          <w:fldChar w:fldCharType="end"/>
        </w:r>
      </w:hyperlink>
    </w:p>
    <w:p w14:paraId="2C895AEB" w14:textId="35045299"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60" w:history="1">
        <w:r w:rsidRPr="00AB6725">
          <w:rPr>
            <w:rStyle w:val="Lienhypertexte"/>
            <w:noProof/>
          </w:rPr>
          <w:t>Section 4.01</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Termes de paiement</w:t>
        </w:r>
        <w:r>
          <w:rPr>
            <w:noProof/>
            <w:webHidden/>
          </w:rPr>
          <w:tab/>
        </w:r>
        <w:r>
          <w:rPr>
            <w:noProof/>
            <w:webHidden/>
          </w:rPr>
          <w:fldChar w:fldCharType="begin"/>
        </w:r>
        <w:r>
          <w:rPr>
            <w:noProof/>
            <w:webHidden/>
          </w:rPr>
          <w:instrText xml:space="preserve"> PAGEREF _Toc196214560 \h </w:instrText>
        </w:r>
        <w:r>
          <w:rPr>
            <w:noProof/>
            <w:webHidden/>
          </w:rPr>
        </w:r>
        <w:r>
          <w:rPr>
            <w:noProof/>
            <w:webHidden/>
          </w:rPr>
          <w:fldChar w:fldCharType="separate"/>
        </w:r>
        <w:r>
          <w:rPr>
            <w:noProof/>
            <w:webHidden/>
          </w:rPr>
          <w:t>5</w:t>
        </w:r>
        <w:r>
          <w:rPr>
            <w:noProof/>
            <w:webHidden/>
          </w:rPr>
          <w:fldChar w:fldCharType="end"/>
        </w:r>
      </w:hyperlink>
    </w:p>
    <w:p w14:paraId="2C71A28B" w14:textId="7D820819" w:rsidR="007816B1" w:rsidRDefault="007816B1">
      <w:pPr>
        <w:pStyle w:val="TM2"/>
        <w:tabs>
          <w:tab w:val="left" w:pos="1600"/>
          <w:tab w:val="right" w:leader="dot" w:pos="7927"/>
        </w:tabs>
        <w:rPr>
          <w:rFonts w:asciiTheme="minorHAnsi" w:eastAsiaTheme="minorEastAsia" w:hAnsiTheme="minorHAnsi" w:cstheme="minorBidi"/>
          <w:b w:val="0"/>
          <w:bCs w:val="0"/>
          <w:noProof/>
          <w:kern w:val="2"/>
          <w:sz w:val="24"/>
          <w:szCs w:val="24"/>
          <w:lang w:val="fr-FR"/>
          <w14:ligatures w14:val="standardContextual"/>
        </w:rPr>
      </w:pPr>
      <w:hyperlink w:anchor="_Toc196214561" w:history="1">
        <w:r w:rsidRPr="00AB6725">
          <w:rPr>
            <w:rStyle w:val="Lienhypertexte"/>
            <w:noProof/>
          </w:rPr>
          <w:t>Section 4.02</w:t>
        </w:r>
        <w:r>
          <w:rPr>
            <w:rFonts w:asciiTheme="minorHAnsi" w:eastAsiaTheme="minorEastAsia" w:hAnsiTheme="minorHAnsi" w:cstheme="minorBidi"/>
            <w:b w:val="0"/>
            <w:bCs w:val="0"/>
            <w:noProof/>
            <w:kern w:val="2"/>
            <w:sz w:val="24"/>
            <w:szCs w:val="24"/>
            <w:lang w:val="fr-FR"/>
            <w14:ligatures w14:val="standardContextual"/>
          </w:rPr>
          <w:tab/>
        </w:r>
        <w:r w:rsidRPr="00AB6725">
          <w:rPr>
            <w:rStyle w:val="Lienhypertexte"/>
            <w:noProof/>
          </w:rPr>
          <w:t>Modalités de paiement</w:t>
        </w:r>
        <w:r>
          <w:rPr>
            <w:noProof/>
            <w:webHidden/>
          </w:rPr>
          <w:tab/>
        </w:r>
        <w:r>
          <w:rPr>
            <w:noProof/>
            <w:webHidden/>
          </w:rPr>
          <w:fldChar w:fldCharType="begin"/>
        </w:r>
        <w:r>
          <w:rPr>
            <w:noProof/>
            <w:webHidden/>
          </w:rPr>
          <w:instrText xml:space="preserve"> PAGEREF _Toc196214561 \h </w:instrText>
        </w:r>
        <w:r>
          <w:rPr>
            <w:noProof/>
            <w:webHidden/>
          </w:rPr>
        </w:r>
        <w:r>
          <w:rPr>
            <w:noProof/>
            <w:webHidden/>
          </w:rPr>
          <w:fldChar w:fldCharType="separate"/>
        </w:r>
        <w:r>
          <w:rPr>
            <w:noProof/>
            <w:webHidden/>
          </w:rPr>
          <w:t>5</w:t>
        </w:r>
        <w:r>
          <w:rPr>
            <w:noProof/>
            <w:webHidden/>
          </w:rPr>
          <w:fldChar w:fldCharType="end"/>
        </w:r>
      </w:hyperlink>
    </w:p>
    <w:p w14:paraId="1E7578AD" w14:textId="49C9B068" w:rsidR="007816B1" w:rsidRDefault="007816B1">
      <w:pPr>
        <w:pStyle w:val="TM1"/>
        <w:tabs>
          <w:tab w:val="left" w:pos="1200"/>
        </w:tabs>
        <w:rPr>
          <w:rFonts w:asciiTheme="minorHAnsi" w:eastAsiaTheme="minorEastAsia" w:hAnsiTheme="minorHAnsi" w:cstheme="minorBidi"/>
          <w:b w:val="0"/>
          <w:bCs w:val="0"/>
          <w:i w:val="0"/>
          <w:iCs w:val="0"/>
          <w:noProof/>
          <w:kern w:val="2"/>
          <w:lang w:val="fr-FR"/>
          <w14:ligatures w14:val="standardContextual"/>
        </w:rPr>
      </w:pPr>
      <w:hyperlink w:anchor="_Toc196214562" w:history="1">
        <w:r w:rsidRPr="00AB6725">
          <w:rPr>
            <w:rStyle w:val="Lienhypertexte"/>
            <w:noProof/>
          </w:rPr>
          <w:t>Article V.</w:t>
        </w:r>
        <w:r>
          <w:rPr>
            <w:rFonts w:asciiTheme="minorHAnsi" w:eastAsiaTheme="minorEastAsia" w:hAnsiTheme="minorHAnsi" w:cstheme="minorBidi"/>
            <w:b w:val="0"/>
            <w:bCs w:val="0"/>
            <w:i w:val="0"/>
            <w:iCs w:val="0"/>
            <w:noProof/>
            <w:kern w:val="2"/>
            <w:lang w:val="fr-FR"/>
            <w14:ligatures w14:val="standardContextual"/>
          </w:rPr>
          <w:tab/>
        </w:r>
        <w:r w:rsidRPr="00AB6725">
          <w:rPr>
            <w:rStyle w:val="Lienhypertexte"/>
            <w:noProof/>
          </w:rPr>
          <w:t>PENALITES</w:t>
        </w:r>
        <w:r>
          <w:rPr>
            <w:noProof/>
            <w:webHidden/>
          </w:rPr>
          <w:tab/>
        </w:r>
        <w:r>
          <w:rPr>
            <w:noProof/>
            <w:webHidden/>
          </w:rPr>
          <w:fldChar w:fldCharType="begin"/>
        </w:r>
        <w:r>
          <w:rPr>
            <w:noProof/>
            <w:webHidden/>
          </w:rPr>
          <w:instrText xml:space="preserve"> PAGEREF _Toc196214562 \h </w:instrText>
        </w:r>
        <w:r>
          <w:rPr>
            <w:noProof/>
            <w:webHidden/>
          </w:rPr>
        </w:r>
        <w:r>
          <w:rPr>
            <w:noProof/>
            <w:webHidden/>
          </w:rPr>
          <w:fldChar w:fldCharType="separate"/>
        </w:r>
        <w:r>
          <w:rPr>
            <w:noProof/>
            <w:webHidden/>
          </w:rPr>
          <w:t>6</w:t>
        </w:r>
        <w:r>
          <w:rPr>
            <w:noProof/>
            <w:webHidden/>
          </w:rPr>
          <w:fldChar w:fldCharType="end"/>
        </w:r>
      </w:hyperlink>
    </w:p>
    <w:p w14:paraId="1BA357F2" w14:textId="3A213246"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63" w:history="1">
        <w:r w:rsidRPr="00AB6725">
          <w:rPr>
            <w:rStyle w:val="Lienhypertexte"/>
            <w:noProof/>
          </w:rPr>
          <w:t>(a)</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Réactivité et mobilisation rapide des équipes :</w:t>
        </w:r>
        <w:r>
          <w:rPr>
            <w:noProof/>
            <w:webHidden/>
          </w:rPr>
          <w:tab/>
        </w:r>
        <w:r>
          <w:rPr>
            <w:noProof/>
            <w:webHidden/>
          </w:rPr>
          <w:fldChar w:fldCharType="begin"/>
        </w:r>
        <w:r>
          <w:rPr>
            <w:noProof/>
            <w:webHidden/>
          </w:rPr>
          <w:instrText xml:space="preserve"> PAGEREF _Toc196214563 \h </w:instrText>
        </w:r>
        <w:r>
          <w:rPr>
            <w:noProof/>
            <w:webHidden/>
          </w:rPr>
        </w:r>
        <w:r>
          <w:rPr>
            <w:noProof/>
            <w:webHidden/>
          </w:rPr>
          <w:fldChar w:fldCharType="separate"/>
        </w:r>
        <w:r>
          <w:rPr>
            <w:noProof/>
            <w:webHidden/>
          </w:rPr>
          <w:t>6</w:t>
        </w:r>
        <w:r>
          <w:rPr>
            <w:noProof/>
            <w:webHidden/>
          </w:rPr>
          <w:fldChar w:fldCharType="end"/>
        </w:r>
      </w:hyperlink>
    </w:p>
    <w:p w14:paraId="6471A33F" w14:textId="217490D2"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64" w:history="1">
        <w:r w:rsidRPr="00AB6725">
          <w:rPr>
            <w:rStyle w:val="Lienhypertexte"/>
            <w:noProof/>
          </w:rPr>
          <w:t>(b)</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Disponibilité et gestion des intervenants sur site :</w:t>
        </w:r>
        <w:r>
          <w:rPr>
            <w:noProof/>
            <w:webHidden/>
          </w:rPr>
          <w:tab/>
        </w:r>
        <w:r>
          <w:rPr>
            <w:noProof/>
            <w:webHidden/>
          </w:rPr>
          <w:fldChar w:fldCharType="begin"/>
        </w:r>
        <w:r>
          <w:rPr>
            <w:noProof/>
            <w:webHidden/>
          </w:rPr>
          <w:instrText xml:space="preserve"> PAGEREF _Toc196214564 \h </w:instrText>
        </w:r>
        <w:r>
          <w:rPr>
            <w:noProof/>
            <w:webHidden/>
          </w:rPr>
        </w:r>
        <w:r>
          <w:rPr>
            <w:noProof/>
            <w:webHidden/>
          </w:rPr>
          <w:fldChar w:fldCharType="separate"/>
        </w:r>
        <w:r>
          <w:rPr>
            <w:noProof/>
            <w:webHidden/>
          </w:rPr>
          <w:t>6</w:t>
        </w:r>
        <w:r>
          <w:rPr>
            <w:noProof/>
            <w:webHidden/>
          </w:rPr>
          <w:fldChar w:fldCharType="end"/>
        </w:r>
      </w:hyperlink>
    </w:p>
    <w:p w14:paraId="76909AE6" w14:textId="2A97338D"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65" w:history="1">
        <w:r w:rsidRPr="00AB6725">
          <w:rPr>
            <w:rStyle w:val="Lienhypertexte"/>
            <w:noProof/>
          </w:rPr>
          <w:t>(c)</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Structuration de la mission :</w:t>
        </w:r>
        <w:r>
          <w:rPr>
            <w:noProof/>
            <w:webHidden/>
          </w:rPr>
          <w:tab/>
        </w:r>
        <w:r>
          <w:rPr>
            <w:noProof/>
            <w:webHidden/>
          </w:rPr>
          <w:fldChar w:fldCharType="begin"/>
        </w:r>
        <w:r>
          <w:rPr>
            <w:noProof/>
            <w:webHidden/>
          </w:rPr>
          <w:instrText xml:space="preserve"> PAGEREF _Toc196214565 \h </w:instrText>
        </w:r>
        <w:r>
          <w:rPr>
            <w:noProof/>
            <w:webHidden/>
          </w:rPr>
        </w:r>
        <w:r>
          <w:rPr>
            <w:noProof/>
            <w:webHidden/>
          </w:rPr>
          <w:fldChar w:fldCharType="separate"/>
        </w:r>
        <w:r>
          <w:rPr>
            <w:noProof/>
            <w:webHidden/>
          </w:rPr>
          <w:t>6</w:t>
        </w:r>
        <w:r>
          <w:rPr>
            <w:noProof/>
            <w:webHidden/>
          </w:rPr>
          <w:fldChar w:fldCharType="end"/>
        </w:r>
      </w:hyperlink>
    </w:p>
    <w:p w14:paraId="249362CA" w14:textId="05EC734D"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66" w:history="1">
        <w:r w:rsidRPr="00AB6725">
          <w:rPr>
            <w:rStyle w:val="Lienhypertexte"/>
            <w:noProof/>
          </w:rPr>
          <w:t>(d)</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Respect des promesses (livrables et reporting) :</w:t>
        </w:r>
        <w:r>
          <w:rPr>
            <w:noProof/>
            <w:webHidden/>
          </w:rPr>
          <w:tab/>
        </w:r>
        <w:r>
          <w:rPr>
            <w:noProof/>
            <w:webHidden/>
          </w:rPr>
          <w:fldChar w:fldCharType="begin"/>
        </w:r>
        <w:r>
          <w:rPr>
            <w:noProof/>
            <w:webHidden/>
          </w:rPr>
          <w:instrText xml:space="preserve"> PAGEREF _Toc196214566 \h </w:instrText>
        </w:r>
        <w:r>
          <w:rPr>
            <w:noProof/>
            <w:webHidden/>
          </w:rPr>
        </w:r>
        <w:r>
          <w:rPr>
            <w:noProof/>
            <w:webHidden/>
          </w:rPr>
          <w:fldChar w:fldCharType="separate"/>
        </w:r>
        <w:r>
          <w:rPr>
            <w:noProof/>
            <w:webHidden/>
          </w:rPr>
          <w:t>6</w:t>
        </w:r>
        <w:r>
          <w:rPr>
            <w:noProof/>
            <w:webHidden/>
          </w:rPr>
          <w:fldChar w:fldCharType="end"/>
        </w:r>
      </w:hyperlink>
    </w:p>
    <w:p w14:paraId="4541B553" w14:textId="577AAC68"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67" w:history="1">
        <w:r w:rsidRPr="00AB6725">
          <w:rPr>
            <w:rStyle w:val="Lienhypertexte"/>
            <w:noProof/>
          </w:rPr>
          <w:t>(e)</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Pénalités pour interruption ou abandon de mission :</w:t>
        </w:r>
        <w:r>
          <w:rPr>
            <w:noProof/>
            <w:webHidden/>
          </w:rPr>
          <w:tab/>
        </w:r>
        <w:r>
          <w:rPr>
            <w:noProof/>
            <w:webHidden/>
          </w:rPr>
          <w:fldChar w:fldCharType="begin"/>
        </w:r>
        <w:r>
          <w:rPr>
            <w:noProof/>
            <w:webHidden/>
          </w:rPr>
          <w:instrText xml:space="preserve"> PAGEREF _Toc196214567 \h </w:instrText>
        </w:r>
        <w:r>
          <w:rPr>
            <w:noProof/>
            <w:webHidden/>
          </w:rPr>
        </w:r>
        <w:r>
          <w:rPr>
            <w:noProof/>
            <w:webHidden/>
          </w:rPr>
          <w:fldChar w:fldCharType="separate"/>
        </w:r>
        <w:r>
          <w:rPr>
            <w:noProof/>
            <w:webHidden/>
          </w:rPr>
          <w:t>6</w:t>
        </w:r>
        <w:r>
          <w:rPr>
            <w:noProof/>
            <w:webHidden/>
          </w:rPr>
          <w:fldChar w:fldCharType="end"/>
        </w:r>
      </w:hyperlink>
    </w:p>
    <w:p w14:paraId="04D6181C" w14:textId="47BFCDEC" w:rsidR="007816B1" w:rsidRDefault="007816B1">
      <w:pPr>
        <w:pStyle w:val="TM3"/>
        <w:tabs>
          <w:tab w:val="left" w:pos="1000"/>
          <w:tab w:val="right" w:leader="dot" w:pos="7927"/>
        </w:tabs>
        <w:rPr>
          <w:rFonts w:asciiTheme="minorHAnsi" w:eastAsiaTheme="minorEastAsia" w:hAnsiTheme="minorHAnsi" w:cstheme="minorBidi"/>
          <w:noProof/>
          <w:kern w:val="2"/>
          <w:sz w:val="24"/>
          <w:szCs w:val="24"/>
          <w:lang w:val="fr-FR"/>
          <w14:ligatures w14:val="standardContextual"/>
        </w:rPr>
      </w:pPr>
      <w:hyperlink w:anchor="_Toc196214568" w:history="1">
        <w:r w:rsidRPr="00AB6725">
          <w:rPr>
            <w:rStyle w:val="Lienhypertexte"/>
            <w:noProof/>
          </w:rPr>
          <w:t>(f)</w:t>
        </w:r>
        <w:r>
          <w:rPr>
            <w:rFonts w:asciiTheme="minorHAnsi" w:eastAsiaTheme="minorEastAsia" w:hAnsiTheme="minorHAnsi" w:cstheme="minorBidi"/>
            <w:noProof/>
            <w:kern w:val="2"/>
            <w:sz w:val="24"/>
            <w:szCs w:val="24"/>
            <w:lang w:val="fr-FR"/>
            <w14:ligatures w14:val="standardContextual"/>
          </w:rPr>
          <w:tab/>
        </w:r>
        <w:r w:rsidRPr="00AB6725">
          <w:rPr>
            <w:rStyle w:val="Lienhypertexte"/>
            <w:noProof/>
          </w:rPr>
          <w:t>Pénalité pour non-respect de l’AAE et du mémoire technique :</w:t>
        </w:r>
        <w:r>
          <w:rPr>
            <w:noProof/>
            <w:webHidden/>
          </w:rPr>
          <w:tab/>
        </w:r>
        <w:r>
          <w:rPr>
            <w:noProof/>
            <w:webHidden/>
          </w:rPr>
          <w:fldChar w:fldCharType="begin"/>
        </w:r>
        <w:r>
          <w:rPr>
            <w:noProof/>
            <w:webHidden/>
          </w:rPr>
          <w:instrText xml:space="preserve"> PAGEREF _Toc196214568 \h </w:instrText>
        </w:r>
        <w:r>
          <w:rPr>
            <w:noProof/>
            <w:webHidden/>
          </w:rPr>
        </w:r>
        <w:r>
          <w:rPr>
            <w:noProof/>
            <w:webHidden/>
          </w:rPr>
          <w:fldChar w:fldCharType="separate"/>
        </w:r>
        <w:r>
          <w:rPr>
            <w:noProof/>
            <w:webHidden/>
          </w:rPr>
          <w:t>7</w:t>
        </w:r>
        <w:r>
          <w:rPr>
            <w:noProof/>
            <w:webHidden/>
          </w:rPr>
          <w:fldChar w:fldCharType="end"/>
        </w:r>
      </w:hyperlink>
    </w:p>
    <w:p w14:paraId="24678D51" w14:textId="58C22945" w:rsidR="007816B1" w:rsidRDefault="007816B1">
      <w:pPr>
        <w:pStyle w:val="TM1"/>
        <w:tabs>
          <w:tab w:val="left" w:pos="1400"/>
        </w:tabs>
        <w:rPr>
          <w:rFonts w:asciiTheme="minorHAnsi" w:eastAsiaTheme="minorEastAsia" w:hAnsiTheme="minorHAnsi" w:cstheme="minorBidi"/>
          <w:b w:val="0"/>
          <w:bCs w:val="0"/>
          <w:i w:val="0"/>
          <w:iCs w:val="0"/>
          <w:noProof/>
          <w:kern w:val="2"/>
          <w:lang w:val="fr-FR"/>
          <w14:ligatures w14:val="standardContextual"/>
        </w:rPr>
      </w:pPr>
      <w:hyperlink w:anchor="_Toc196214569" w:history="1">
        <w:r w:rsidRPr="00AB6725">
          <w:rPr>
            <w:rStyle w:val="Lienhypertexte"/>
            <w:noProof/>
          </w:rPr>
          <w:t>Article VI.</w:t>
        </w:r>
        <w:r>
          <w:rPr>
            <w:rFonts w:asciiTheme="minorHAnsi" w:eastAsiaTheme="minorEastAsia" w:hAnsiTheme="minorHAnsi" w:cstheme="minorBidi"/>
            <w:b w:val="0"/>
            <w:bCs w:val="0"/>
            <w:i w:val="0"/>
            <w:iCs w:val="0"/>
            <w:noProof/>
            <w:kern w:val="2"/>
            <w:lang w:val="fr-FR"/>
            <w14:ligatures w14:val="standardContextual"/>
          </w:rPr>
          <w:tab/>
        </w:r>
        <w:r w:rsidRPr="00AB6725">
          <w:rPr>
            <w:rStyle w:val="Lienhypertexte"/>
            <w:noProof/>
          </w:rPr>
          <w:t>NON-SUBSTITUTION DU PERSONNEL</w:t>
        </w:r>
        <w:r>
          <w:rPr>
            <w:noProof/>
            <w:webHidden/>
          </w:rPr>
          <w:tab/>
        </w:r>
        <w:r>
          <w:rPr>
            <w:noProof/>
            <w:webHidden/>
          </w:rPr>
          <w:fldChar w:fldCharType="begin"/>
        </w:r>
        <w:r>
          <w:rPr>
            <w:noProof/>
            <w:webHidden/>
          </w:rPr>
          <w:instrText xml:space="preserve"> PAGEREF _Toc196214569 \h </w:instrText>
        </w:r>
        <w:r>
          <w:rPr>
            <w:noProof/>
            <w:webHidden/>
          </w:rPr>
        </w:r>
        <w:r>
          <w:rPr>
            <w:noProof/>
            <w:webHidden/>
          </w:rPr>
          <w:fldChar w:fldCharType="separate"/>
        </w:r>
        <w:r>
          <w:rPr>
            <w:noProof/>
            <w:webHidden/>
          </w:rPr>
          <w:t>7</w:t>
        </w:r>
        <w:r>
          <w:rPr>
            <w:noProof/>
            <w:webHidden/>
          </w:rPr>
          <w:fldChar w:fldCharType="end"/>
        </w:r>
      </w:hyperlink>
    </w:p>
    <w:p w14:paraId="33A5172C" w14:textId="331694D4" w:rsidR="007816B1" w:rsidRDefault="007816B1">
      <w:pPr>
        <w:pStyle w:val="TM1"/>
        <w:tabs>
          <w:tab w:val="left" w:pos="1400"/>
        </w:tabs>
        <w:rPr>
          <w:rFonts w:asciiTheme="minorHAnsi" w:eastAsiaTheme="minorEastAsia" w:hAnsiTheme="minorHAnsi" w:cstheme="minorBidi"/>
          <w:b w:val="0"/>
          <w:bCs w:val="0"/>
          <w:i w:val="0"/>
          <w:iCs w:val="0"/>
          <w:noProof/>
          <w:kern w:val="2"/>
          <w:lang w:val="fr-FR"/>
          <w14:ligatures w14:val="standardContextual"/>
        </w:rPr>
      </w:pPr>
      <w:hyperlink w:anchor="_Toc196214570" w:history="1">
        <w:r w:rsidRPr="00AB6725">
          <w:rPr>
            <w:rStyle w:val="Lienhypertexte"/>
            <w:noProof/>
          </w:rPr>
          <w:t>Article VII.</w:t>
        </w:r>
        <w:r>
          <w:rPr>
            <w:rFonts w:asciiTheme="minorHAnsi" w:eastAsiaTheme="minorEastAsia" w:hAnsiTheme="minorHAnsi" w:cstheme="minorBidi"/>
            <w:b w:val="0"/>
            <w:bCs w:val="0"/>
            <w:i w:val="0"/>
            <w:iCs w:val="0"/>
            <w:noProof/>
            <w:kern w:val="2"/>
            <w:lang w:val="fr-FR"/>
            <w14:ligatures w14:val="standardContextual"/>
          </w:rPr>
          <w:tab/>
        </w:r>
        <w:r w:rsidRPr="00AB6725">
          <w:rPr>
            <w:rStyle w:val="Lienhypertexte"/>
            <w:noProof/>
          </w:rPr>
          <w:t>AUTRES DISPOSITIONS SPÉCIFIQUES :</w:t>
        </w:r>
        <w:r>
          <w:rPr>
            <w:noProof/>
            <w:webHidden/>
          </w:rPr>
          <w:tab/>
        </w:r>
        <w:r>
          <w:rPr>
            <w:noProof/>
            <w:webHidden/>
          </w:rPr>
          <w:fldChar w:fldCharType="begin"/>
        </w:r>
        <w:r>
          <w:rPr>
            <w:noProof/>
            <w:webHidden/>
          </w:rPr>
          <w:instrText xml:space="preserve"> PAGEREF _Toc196214570 \h </w:instrText>
        </w:r>
        <w:r>
          <w:rPr>
            <w:noProof/>
            <w:webHidden/>
          </w:rPr>
        </w:r>
        <w:r>
          <w:rPr>
            <w:noProof/>
            <w:webHidden/>
          </w:rPr>
          <w:fldChar w:fldCharType="separate"/>
        </w:r>
        <w:r>
          <w:rPr>
            <w:noProof/>
            <w:webHidden/>
          </w:rPr>
          <w:t>7</w:t>
        </w:r>
        <w:r>
          <w:rPr>
            <w:noProof/>
            <w:webHidden/>
          </w:rPr>
          <w:fldChar w:fldCharType="end"/>
        </w:r>
      </w:hyperlink>
    </w:p>
    <w:p w14:paraId="5F76B60B" w14:textId="75197CC1" w:rsidR="007816B1" w:rsidRDefault="007816B1">
      <w:pPr>
        <w:pStyle w:val="TM1"/>
        <w:tabs>
          <w:tab w:val="left" w:pos="1400"/>
        </w:tabs>
        <w:rPr>
          <w:rFonts w:asciiTheme="minorHAnsi" w:eastAsiaTheme="minorEastAsia" w:hAnsiTheme="minorHAnsi" w:cstheme="minorBidi"/>
          <w:b w:val="0"/>
          <w:bCs w:val="0"/>
          <w:i w:val="0"/>
          <w:iCs w:val="0"/>
          <w:noProof/>
          <w:kern w:val="2"/>
          <w:lang w:val="fr-FR"/>
          <w14:ligatures w14:val="standardContextual"/>
        </w:rPr>
      </w:pPr>
      <w:hyperlink w:anchor="_Toc196214571" w:history="1">
        <w:r w:rsidRPr="00AB6725">
          <w:rPr>
            <w:rStyle w:val="Lienhypertexte"/>
            <w:noProof/>
          </w:rPr>
          <w:t>Article VIII.</w:t>
        </w:r>
        <w:r>
          <w:rPr>
            <w:rFonts w:asciiTheme="minorHAnsi" w:eastAsiaTheme="minorEastAsia" w:hAnsiTheme="minorHAnsi" w:cstheme="minorBidi"/>
            <w:b w:val="0"/>
            <w:bCs w:val="0"/>
            <w:i w:val="0"/>
            <w:iCs w:val="0"/>
            <w:noProof/>
            <w:kern w:val="2"/>
            <w:lang w:val="fr-FR"/>
            <w14:ligatures w14:val="standardContextual"/>
          </w:rPr>
          <w:tab/>
        </w:r>
        <w:r w:rsidRPr="00AB6725">
          <w:rPr>
            <w:rStyle w:val="Lienhypertexte"/>
            <w:noProof/>
          </w:rPr>
          <w:t>PROPRIÉTÉ INTELLECTUELLE</w:t>
        </w:r>
        <w:r>
          <w:rPr>
            <w:noProof/>
            <w:webHidden/>
          </w:rPr>
          <w:tab/>
        </w:r>
        <w:r>
          <w:rPr>
            <w:noProof/>
            <w:webHidden/>
          </w:rPr>
          <w:fldChar w:fldCharType="begin"/>
        </w:r>
        <w:r>
          <w:rPr>
            <w:noProof/>
            <w:webHidden/>
          </w:rPr>
          <w:instrText xml:space="preserve"> PAGEREF _Toc196214571 \h </w:instrText>
        </w:r>
        <w:r>
          <w:rPr>
            <w:noProof/>
            <w:webHidden/>
          </w:rPr>
        </w:r>
        <w:r>
          <w:rPr>
            <w:noProof/>
            <w:webHidden/>
          </w:rPr>
          <w:fldChar w:fldCharType="separate"/>
        </w:r>
        <w:r>
          <w:rPr>
            <w:noProof/>
            <w:webHidden/>
          </w:rPr>
          <w:t>7</w:t>
        </w:r>
        <w:r>
          <w:rPr>
            <w:noProof/>
            <w:webHidden/>
          </w:rPr>
          <w:fldChar w:fldCharType="end"/>
        </w:r>
      </w:hyperlink>
    </w:p>
    <w:p w14:paraId="6832B3A3" w14:textId="4FB02B2E" w:rsidR="007816B1" w:rsidRDefault="007816B1">
      <w:pPr>
        <w:pStyle w:val="TM1"/>
        <w:tabs>
          <w:tab w:val="left" w:pos="1400"/>
        </w:tabs>
        <w:rPr>
          <w:rFonts w:asciiTheme="minorHAnsi" w:eastAsiaTheme="minorEastAsia" w:hAnsiTheme="minorHAnsi" w:cstheme="minorBidi"/>
          <w:b w:val="0"/>
          <w:bCs w:val="0"/>
          <w:i w:val="0"/>
          <w:iCs w:val="0"/>
          <w:noProof/>
          <w:kern w:val="2"/>
          <w:lang w:val="fr-FR"/>
          <w14:ligatures w14:val="standardContextual"/>
        </w:rPr>
      </w:pPr>
      <w:hyperlink w:anchor="_Toc196214572" w:history="1">
        <w:r w:rsidRPr="00AB6725">
          <w:rPr>
            <w:rStyle w:val="Lienhypertexte"/>
            <w:noProof/>
          </w:rPr>
          <w:t>Article IX.</w:t>
        </w:r>
        <w:r>
          <w:rPr>
            <w:rFonts w:asciiTheme="minorHAnsi" w:eastAsiaTheme="minorEastAsia" w:hAnsiTheme="minorHAnsi" w:cstheme="minorBidi"/>
            <w:b w:val="0"/>
            <w:bCs w:val="0"/>
            <w:i w:val="0"/>
            <w:iCs w:val="0"/>
            <w:noProof/>
            <w:kern w:val="2"/>
            <w:lang w:val="fr-FR"/>
            <w14:ligatures w14:val="standardContextual"/>
          </w:rPr>
          <w:tab/>
        </w:r>
        <w:r w:rsidRPr="00AB6725">
          <w:rPr>
            <w:rStyle w:val="Lienhypertexte"/>
            <w:noProof/>
          </w:rPr>
          <w:t>DIFFERENDS ET LITIGES</w:t>
        </w:r>
        <w:r>
          <w:rPr>
            <w:noProof/>
            <w:webHidden/>
          </w:rPr>
          <w:tab/>
        </w:r>
        <w:r>
          <w:rPr>
            <w:noProof/>
            <w:webHidden/>
          </w:rPr>
          <w:fldChar w:fldCharType="begin"/>
        </w:r>
        <w:r>
          <w:rPr>
            <w:noProof/>
            <w:webHidden/>
          </w:rPr>
          <w:instrText xml:space="preserve"> PAGEREF _Toc196214572 \h </w:instrText>
        </w:r>
        <w:r>
          <w:rPr>
            <w:noProof/>
            <w:webHidden/>
          </w:rPr>
        </w:r>
        <w:r>
          <w:rPr>
            <w:noProof/>
            <w:webHidden/>
          </w:rPr>
          <w:fldChar w:fldCharType="separate"/>
        </w:r>
        <w:r>
          <w:rPr>
            <w:noProof/>
            <w:webHidden/>
          </w:rPr>
          <w:t>8</w:t>
        </w:r>
        <w:r>
          <w:rPr>
            <w:noProof/>
            <w:webHidden/>
          </w:rPr>
          <w:fldChar w:fldCharType="end"/>
        </w:r>
      </w:hyperlink>
    </w:p>
    <w:p w14:paraId="7C2266C7" w14:textId="0D75AE78" w:rsidR="007816B1" w:rsidRDefault="007816B1">
      <w:pPr>
        <w:pStyle w:val="TM1"/>
        <w:tabs>
          <w:tab w:val="left" w:pos="1200"/>
        </w:tabs>
        <w:rPr>
          <w:rFonts w:asciiTheme="minorHAnsi" w:eastAsiaTheme="minorEastAsia" w:hAnsiTheme="minorHAnsi" w:cstheme="minorBidi"/>
          <w:b w:val="0"/>
          <w:bCs w:val="0"/>
          <w:i w:val="0"/>
          <w:iCs w:val="0"/>
          <w:noProof/>
          <w:kern w:val="2"/>
          <w:lang w:val="fr-FR"/>
          <w14:ligatures w14:val="standardContextual"/>
        </w:rPr>
      </w:pPr>
      <w:hyperlink w:anchor="_Toc196214573" w:history="1">
        <w:r w:rsidRPr="00AB6725">
          <w:rPr>
            <w:rStyle w:val="Lienhypertexte"/>
            <w:noProof/>
          </w:rPr>
          <w:t>Article X.</w:t>
        </w:r>
        <w:r>
          <w:rPr>
            <w:rFonts w:asciiTheme="minorHAnsi" w:eastAsiaTheme="minorEastAsia" w:hAnsiTheme="minorHAnsi" w:cstheme="minorBidi"/>
            <w:b w:val="0"/>
            <w:bCs w:val="0"/>
            <w:i w:val="0"/>
            <w:iCs w:val="0"/>
            <w:noProof/>
            <w:kern w:val="2"/>
            <w:lang w:val="fr-FR"/>
            <w14:ligatures w14:val="standardContextual"/>
          </w:rPr>
          <w:tab/>
        </w:r>
        <w:r w:rsidRPr="00AB6725">
          <w:rPr>
            <w:rStyle w:val="Lienhypertexte"/>
            <w:noProof/>
          </w:rPr>
          <w:t>DÉROGATIONS AU CCAG</w:t>
        </w:r>
        <w:r>
          <w:rPr>
            <w:noProof/>
            <w:webHidden/>
          </w:rPr>
          <w:tab/>
        </w:r>
        <w:r>
          <w:rPr>
            <w:noProof/>
            <w:webHidden/>
          </w:rPr>
          <w:fldChar w:fldCharType="begin"/>
        </w:r>
        <w:r>
          <w:rPr>
            <w:noProof/>
            <w:webHidden/>
          </w:rPr>
          <w:instrText xml:space="preserve"> PAGEREF _Toc196214573 \h </w:instrText>
        </w:r>
        <w:r>
          <w:rPr>
            <w:noProof/>
            <w:webHidden/>
          </w:rPr>
        </w:r>
        <w:r>
          <w:rPr>
            <w:noProof/>
            <w:webHidden/>
          </w:rPr>
          <w:fldChar w:fldCharType="separate"/>
        </w:r>
        <w:r>
          <w:rPr>
            <w:noProof/>
            <w:webHidden/>
          </w:rPr>
          <w:t>8</w:t>
        </w:r>
        <w:r>
          <w:rPr>
            <w:noProof/>
            <w:webHidden/>
          </w:rPr>
          <w:fldChar w:fldCharType="end"/>
        </w:r>
      </w:hyperlink>
    </w:p>
    <w:p w14:paraId="3845B3C8" w14:textId="4ECDD614" w:rsidR="000F2D1F" w:rsidRDefault="002C2146" w:rsidP="00692388">
      <w:pPr>
        <w:rPr>
          <w:rFonts w:ascii="Calibri" w:eastAsia="Times New Roman" w:hAnsi="Calibri" w:cs="Calibri"/>
          <w:b/>
          <w:bCs/>
          <w:i/>
          <w:iCs/>
          <w:noProof/>
          <w:sz w:val="24"/>
          <w:szCs w:val="24"/>
          <w:lang w:val="en-ZA" w:eastAsia="fr-FR"/>
        </w:rPr>
      </w:pPr>
      <w:r>
        <w:rPr>
          <w:rFonts w:ascii="Calibri" w:eastAsia="Times New Roman" w:hAnsi="Calibri" w:cs="Calibri"/>
          <w:b/>
          <w:bCs/>
          <w:i/>
          <w:iCs/>
          <w:noProof/>
          <w:sz w:val="24"/>
          <w:szCs w:val="24"/>
          <w:lang w:val="en-ZA" w:eastAsia="fr-FR"/>
        </w:rPr>
        <w:fldChar w:fldCharType="end"/>
      </w:r>
    </w:p>
    <w:p w14:paraId="62479324" w14:textId="77777777" w:rsidR="000F2D1F" w:rsidRDefault="000F2D1F">
      <w:pPr>
        <w:spacing w:after="200"/>
        <w:ind w:left="0"/>
        <w:jc w:val="left"/>
        <w:rPr>
          <w:rFonts w:ascii="Calibri" w:eastAsia="Times New Roman" w:hAnsi="Calibri" w:cs="Calibri"/>
          <w:b/>
          <w:bCs/>
          <w:i/>
          <w:iCs/>
          <w:noProof/>
          <w:sz w:val="24"/>
          <w:szCs w:val="24"/>
          <w:lang w:val="en-ZA" w:eastAsia="fr-FR"/>
        </w:rPr>
      </w:pPr>
      <w:r>
        <w:rPr>
          <w:rFonts w:ascii="Calibri" w:eastAsia="Times New Roman" w:hAnsi="Calibri" w:cs="Calibri"/>
          <w:b/>
          <w:bCs/>
          <w:i/>
          <w:iCs/>
          <w:noProof/>
          <w:sz w:val="24"/>
          <w:szCs w:val="24"/>
          <w:lang w:val="en-ZA" w:eastAsia="fr-FR"/>
        </w:rPr>
        <w:br w:type="page"/>
      </w:r>
    </w:p>
    <w:p w14:paraId="2436738B" w14:textId="77777777" w:rsidR="00AA7022" w:rsidRPr="00D67774" w:rsidRDefault="00AA7022" w:rsidP="00692388">
      <w:pPr>
        <w:rPr>
          <w:lang w:val="en-ZA"/>
        </w:rPr>
      </w:pPr>
    </w:p>
    <w:p w14:paraId="003AA332" w14:textId="689FF3A6" w:rsidR="00AA7022" w:rsidRDefault="002C6C58" w:rsidP="00692388">
      <w:pPr>
        <w:pStyle w:val="Titre1"/>
      </w:pPr>
      <w:bookmarkStart w:id="2" w:name="_Toc195214481"/>
      <w:bookmarkStart w:id="3" w:name="_Toc195214521"/>
      <w:bookmarkStart w:id="4" w:name="_Toc196214540"/>
      <w:r w:rsidRPr="00BD48F4">
        <w:t>OBJET DU MARCHE</w:t>
      </w:r>
      <w:bookmarkEnd w:id="2"/>
      <w:bookmarkEnd w:id="3"/>
      <w:bookmarkEnd w:id="4"/>
    </w:p>
    <w:p w14:paraId="42E526CF" w14:textId="77777777" w:rsidR="002C6C58" w:rsidRDefault="002C6C58" w:rsidP="000F2D1F">
      <w:pPr>
        <w:pStyle w:val="Titre2"/>
      </w:pPr>
      <w:bookmarkStart w:id="5" w:name="_Toc161406916"/>
      <w:bookmarkStart w:id="6" w:name="_Toc195214482"/>
      <w:bookmarkStart w:id="7" w:name="_Toc195214522"/>
      <w:bookmarkStart w:id="8" w:name="_Toc196214541"/>
      <w:r w:rsidRPr="00BD48F4">
        <w:t>Partie contractante</w:t>
      </w:r>
      <w:bookmarkEnd w:id="5"/>
      <w:bookmarkEnd w:id="6"/>
      <w:bookmarkEnd w:id="7"/>
      <w:bookmarkEnd w:id="8"/>
    </w:p>
    <w:p w14:paraId="6C0EAF22" w14:textId="0AFF3964" w:rsidR="002C6C58" w:rsidRDefault="002C6C58" w:rsidP="00692388">
      <w:r>
        <w:t xml:space="preserve">Le marché est passé pour le compte du </w:t>
      </w:r>
      <w:r w:rsidRPr="002C6C58">
        <w:rPr>
          <w:b/>
          <w:bCs/>
        </w:rPr>
        <w:t>Grand Port Maritime</w:t>
      </w:r>
      <w:r w:rsidRPr="002C6C58">
        <w:t> de la </w:t>
      </w:r>
      <w:r w:rsidRPr="002C6C58">
        <w:rPr>
          <w:b/>
          <w:bCs/>
        </w:rPr>
        <w:t>Guyane</w:t>
      </w:r>
      <w:r>
        <w:rPr>
          <w:b/>
          <w:bCs/>
        </w:rPr>
        <w:t xml:space="preserve"> (GPMG)</w:t>
      </w:r>
      <w:r>
        <w:t>, représenté par son directeur général. Le GPMG est un établissement public à caractère industriel et commercial (EPIC) dont le siège est situé à :</w:t>
      </w:r>
    </w:p>
    <w:p w14:paraId="70BF4182" w14:textId="77777777" w:rsidR="002C6C58" w:rsidRDefault="002C6C58" w:rsidP="00692388">
      <w:r w:rsidRPr="002C6C58">
        <w:t>Zone de Dégrad des cannes 97354 Rémire- Montjoly</w:t>
      </w:r>
    </w:p>
    <w:p w14:paraId="7DAF8405" w14:textId="433B55D9" w:rsidR="002C6C58" w:rsidRDefault="002C6C58" w:rsidP="00692388">
      <w:r w:rsidRPr="002C6C58">
        <w:t>Guyane française</w:t>
      </w:r>
    </w:p>
    <w:p w14:paraId="2F04F3C2" w14:textId="052B7CC4" w:rsidR="001921AF" w:rsidRDefault="001921AF" w:rsidP="00692388">
      <w:r>
        <w:t>France</w:t>
      </w:r>
    </w:p>
    <w:p w14:paraId="4699710C" w14:textId="77777777" w:rsidR="002C6C58" w:rsidRDefault="002C6C58" w:rsidP="000F2D1F">
      <w:pPr>
        <w:pStyle w:val="Titre2"/>
      </w:pPr>
      <w:bookmarkStart w:id="9" w:name="_Toc195214483"/>
      <w:bookmarkStart w:id="10" w:name="_Toc195214523"/>
      <w:bookmarkStart w:id="11" w:name="_Toc196214542"/>
      <w:bookmarkStart w:id="12" w:name="_Toc161406917"/>
      <w:r w:rsidRPr="00BD48F4">
        <w:t>Objet du marché</w:t>
      </w:r>
      <w:bookmarkEnd w:id="9"/>
      <w:bookmarkEnd w:id="10"/>
      <w:bookmarkEnd w:id="11"/>
      <w:r w:rsidRPr="00BD48F4">
        <w:t xml:space="preserve"> </w:t>
      </w:r>
      <w:bookmarkEnd w:id="12"/>
    </w:p>
    <w:p w14:paraId="48497DE9" w14:textId="6A4E751E" w:rsidR="002C6C58" w:rsidRDefault="002C6C58" w:rsidP="00692388">
      <w:pPr>
        <w:rPr>
          <w:lang w:eastAsia="fr-FR"/>
        </w:rPr>
      </w:pPr>
      <w:r w:rsidRPr="00C65AB5">
        <w:t>Le marché a pour objet la</w:t>
      </w:r>
      <w:r>
        <w:t xml:space="preserve"> </w:t>
      </w:r>
      <w:r w:rsidR="006114AB">
        <w:t>« pesée des postes</w:t>
      </w:r>
      <w:r w:rsidR="009F3A64">
        <w:t xml:space="preserve"> du GPM - Guyane</w:t>
      </w:r>
      <w:r w:rsidR="006114AB">
        <w:t> »</w:t>
      </w:r>
      <w:r>
        <w:t>.</w:t>
      </w:r>
    </w:p>
    <w:p w14:paraId="240DE4E3" w14:textId="77777777" w:rsidR="002C6C58" w:rsidRPr="00BD48F4" w:rsidRDefault="002C6C58" w:rsidP="00692388">
      <w:r w:rsidRPr="00BD48F4">
        <w:t>La description des prestations figure au C.C.T.P.</w:t>
      </w:r>
    </w:p>
    <w:p w14:paraId="3EFC8623" w14:textId="77777777" w:rsidR="000C358F" w:rsidRPr="000C358F" w:rsidRDefault="000C358F" w:rsidP="000F2D1F">
      <w:pPr>
        <w:pStyle w:val="Titre2"/>
      </w:pPr>
      <w:bookmarkStart w:id="13" w:name="_Toc146825031"/>
      <w:bookmarkStart w:id="14" w:name="_Toc195214484"/>
      <w:bookmarkStart w:id="15" w:name="_Toc195214524"/>
      <w:bookmarkStart w:id="16" w:name="_Toc196214543"/>
      <w:r w:rsidRPr="000C358F">
        <w:t>Montant maximum</w:t>
      </w:r>
      <w:bookmarkEnd w:id="13"/>
      <w:bookmarkEnd w:id="14"/>
      <w:bookmarkEnd w:id="15"/>
      <w:bookmarkEnd w:id="16"/>
    </w:p>
    <w:p w14:paraId="7E5DFCE9" w14:textId="77777777" w:rsidR="000C358F" w:rsidRPr="00F73FEC" w:rsidRDefault="000C358F" w:rsidP="00692388">
      <w:r w:rsidRPr="00F73FEC">
        <w:t>Le marché est passé sans minimum.</w:t>
      </w:r>
    </w:p>
    <w:p w14:paraId="76BC5FC4" w14:textId="0AEE3288" w:rsidR="000C358F" w:rsidRPr="008333B5" w:rsidRDefault="000C358F" w:rsidP="00692388">
      <w:pPr>
        <w:rPr>
          <w:color w:val="FF0000"/>
        </w:rPr>
      </w:pPr>
      <w:r w:rsidRPr="00F73FEC">
        <w:t xml:space="preserve">Il ne peut pas excéder un montant de </w:t>
      </w:r>
      <w:r w:rsidR="00E25A35">
        <w:t>2</w:t>
      </w:r>
      <w:r w:rsidRPr="00F73FEC">
        <w:t xml:space="preserve">00 000 Euros </w:t>
      </w:r>
      <w:r w:rsidR="00CC2CB8" w:rsidRPr="002B3C96">
        <w:t>sur la durée de l’accord cadre</w:t>
      </w:r>
      <w:r w:rsidR="003112EF">
        <w:t>.</w:t>
      </w:r>
    </w:p>
    <w:p w14:paraId="33B2DC6A" w14:textId="77777777" w:rsidR="000C358F" w:rsidRPr="000C358F" w:rsidRDefault="000C358F" w:rsidP="000F2D1F">
      <w:pPr>
        <w:pStyle w:val="Titre2"/>
      </w:pPr>
      <w:bookmarkStart w:id="17" w:name="_Toc146825032"/>
      <w:bookmarkStart w:id="18" w:name="_Toc195214485"/>
      <w:bookmarkStart w:id="19" w:name="_Toc195214525"/>
      <w:bookmarkStart w:id="20" w:name="_Toc196214544"/>
      <w:r w:rsidRPr="000C358F">
        <w:t>Durée</w:t>
      </w:r>
      <w:bookmarkEnd w:id="17"/>
      <w:bookmarkEnd w:id="18"/>
      <w:bookmarkEnd w:id="19"/>
      <w:bookmarkEnd w:id="20"/>
    </w:p>
    <w:p w14:paraId="7C08E125" w14:textId="65E802F1" w:rsidR="000C358F" w:rsidRPr="007726C8" w:rsidRDefault="000C358F" w:rsidP="00692388">
      <w:r w:rsidRPr="007726C8">
        <w:t>Le marché entre en vigueur à compter de sa notification et est conclu pour une durée d</w:t>
      </w:r>
      <w:r w:rsidR="00542033">
        <w:t>e 4 ans.</w:t>
      </w:r>
    </w:p>
    <w:p w14:paraId="286766EE" w14:textId="77E05549" w:rsidR="000C358F" w:rsidRDefault="000C358F" w:rsidP="000F2D1F">
      <w:pPr>
        <w:pStyle w:val="Titre2"/>
      </w:pPr>
      <w:bookmarkStart w:id="21" w:name="_Toc195214486"/>
      <w:bookmarkStart w:id="22" w:name="_Toc195214526"/>
      <w:bookmarkStart w:id="23" w:name="_Toc196214545"/>
      <w:r w:rsidRPr="000C358F">
        <w:t>Renouvellement</w:t>
      </w:r>
      <w:bookmarkEnd w:id="21"/>
      <w:bookmarkEnd w:id="22"/>
      <w:bookmarkEnd w:id="23"/>
      <w:r w:rsidRPr="000C358F">
        <w:t xml:space="preserve"> </w:t>
      </w:r>
    </w:p>
    <w:p w14:paraId="579CB35A" w14:textId="4DDC1B0A" w:rsidR="000C358F" w:rsidRDefault="000C358F" w:rsidP="00692388">
      <w:r>
        <w:t>Le marché est renouvelable</w:t>
      </w:r>
      <w:r w:rsidR="00F9571D">
        <w:t xml:space="preserve"> 3 fois.</w:t>
      </w:r>
    </w:p>
    <w:p w14:paraId="00AC32E3" w14:textId="77777777" w:rsidR="00DD701C" w:rsidRDefault="00DD701C" w:rsidP="00692388">
      <w:pPr>
        <w:pStyle w:val="Titre1"/>
      </w:pPr>
      <w:bookmarkStart w:id="24" w:name="_Toc161406922"/>
      <w:bookmarkStart w:id="25" w:name="_Toc195214487"/>
      <w:bookmarkStart w:id="26" w:name="_Toc195214527"/>
      <w:bookmarkStart w:id="27" w:name="_Toc196214546"/>
      <w:r w:rsidRPr="00BD48F4">
        <w:t>PIECES CONSTITUTIVES DU MARCHE</w:t>
      </w:r>
      <w:bookmarkEnd w:id="24"/>
      <w:bookmarkEnd w:id="25"/>
      <w:bookmarkEnd w:id="26"/>
      <w:bookmarkEnd w:id="27"/>
      <w:r w:rsidRPr="00BD48F4">
        <w:t xml:space="preserve"> </w:t>
      </w:r>
    </w:p>
    <w:p w14:paraId="6928EBC1" w14:textId="77777777" w:rsidR="00DD701C" w:rsidRPr="00BD48F4" w:rsidRDefault="00DD701C" w:rsidP="00692388">
      <w:r w:rsidRPr="00BD48F4">
        <w:t xml:space="preserve">Le présent marché est régi par les documents contractuels ci-après cités dans l’ordre de priorité décroissant suivant : </w:t>
      </w:r>
    </w:p>
    <w:p w14:paraId="61E93B48" w14:textId="77777777" w:rsidR="00DD701C" w:rsidRDefault="00DD701C" w:rsidP="000F2D1F">
      <w:pPr>
        <w:pStyle w:val="Titre2"/>
      </w:pPr>
      <w:bookmarkStart w:id="28" w:name="_Toc161406923"/>
      <w:bookmarkStart w:id="29" w:name="_Toc195214488"/>
      <w:bookmarkStart w:id="30" w:name="_Toc195214528"/>
      <w:bookmarkStart w:id="31" w:name="_Toc196214547"/>
      <w:r w:rsidRPr="00DD701C">
        <w:t>Les Pièces particulières</w:t>
      </w:r>
      <w:bookmarkEnd w:id="28"/>
      <w:bookmarkEnd w:id="29"/>
      <w:bookmarkEnd w:id="30"/>
      <w:bookmarkEnd w:id="31"/>
    </w:p>
    <w:p w14:paraId="4B941B3D" w14:textId="7EDD231F" w:rsidR="00DD701C" w:rsidRDefault="00DD701C" w:rsidP="00692388">
      <w:pPr>
        <w:pStyle w:val="Paragraphedeliste"/>
      </w:pPr>
      <w:r w:rsidRPr="00994776">
        <w:t>Pièce N°1 : L'acte d'engagement « AE</w:t>
      </w:r>
      <w:r>
        <w:t xml:space="preserve"> </w:t>
      </w:r>
      <w:r w:rsidR="00805097">
        <w:rPr>
          <w:i/>
          <w:iCs/>
          <w:smallCaps/>
        </w:rPr>
        <w:t>GPM-</w:t>
      </w:r>
      <w:r w:rsidR="00805097" w:rsidRPr="008A353E">
        <w:t xml:space="preserve">G </w:t>
      </w:r>
      <w:r w:rsidR="00805097" w:rsidRPr="008076A0">
        <w:rPr>
          <w:i/>
          <w:iCs/>
          <w:smallCaps/>
        </w:rPr>
        <w:t>S</w:t>
      </w:r>
      <w:r w:rsidR="00805097">
        <w:rPr>
          <w:i/>
          <w:iCs/>
          <w:smallCaps/>
        </w:rPr>
        <w:t>G-</w:t>
      </w:r>
      <w:r w:rsidR="00805097" w:rsidRPr="008076A0">
        <w:rPr>
          <w:i/>
          <w:iCs/>
          <w:smallCaps/>
        </w:rPr>
        <w:t>2</w:t>
      </w:r>
      <w:r w:rsidR="00805097">
        <w:rPr>
          <w:i/>
          <w:iCs/>
          <w:smallCaps/>
        </w:rPr>
        <w:t>5-</w:t>
      </w:r>
      <w:r w:rsidR="00805097" w:rsidRPr="008076A0">
        <w:rPr>
          <w:i/>
          <w:iCs/>
          <w:smallCaps/>
        </w:rPr>
        <w:t>0</w:t>
      </w:r>
      <w:r w:rsidR="008A353E">
        <w:rPr>
          <w:i/>
          <w:iCs/>
          <w:smallCaps/>
        </w:rPr>
        <w:t>3</w:t>
      </w:r>
      <w:r w:rsidR="00C51D33">
        <w:rPr>
          <w:i/>
          <w:iCs/>
          <w:smallCaps/>
        </w:rPr>
        <w:t xml:space="preserve"> PESEE </w:t>
      </w:r>
      <w:r w:rsidR="00805097" w:rsidRPr="008076A0">
        <w:rPr>
          <w:i/>
          <w:iCs/>
          <w:smallCaps/>
        </w:rPr>
        <w:t>RX</w:t>
      </w:r>
      <w:r w:rsidR="00805097">
        <w:rPr>
          <w:i/>
          <w:iCs/>
          <w:smallCaps/>
        </w:rPr>
        <w:t xml:space="preserve"> </w:t>
      </w:r>
      <w:r w:rsidRPr="002A25F1">
        <w:t>» et toutes les annexes :</w:t>
      </w:r>
    </w:p>
    <w:p w14:paraId="1BE7B4EE" w14:textId="77777777" w:rsidR="00E33558" w:rsidRPr="002A25F1" w:rsidRDefault="00E33558" w:rsidP="00692388">
      <w:pPr>
        <w:pStyle w:val="Paragraphedeliste"/>
      </w:pPr>
    </w:p>
    <w:p w14:paraId="0BE5C416" w14:textId="5FCA2DA7" w:rsidR="00DD701C" w:rsidRPr="004657BA" w:rsidRDefault="00DD701C" w:rsidP="002B3C96">
      <w:pPr>
        <w:pStyle w:val="Paragraphedeliste"/>
        <w:numPr>
          <w:ilvl w:val="1"/>
          <w:numId w:val="5"/>
        </w:numPr>
      </w:pPr>
      <w:r w:rsidRPr="004657BA">
        <w:t xml:space="preserve">Annexe </w:t>
      </w:r>
      <w:r w:rsidR="00D7666F" w:rsidRPr="004657BA">
        <w:t>conformité</w:t>
      </w:r>
      <w:r w:rsidRPr="004657BA">
        <w:t> : bordereau des différences de valeur à la charge du GPMG</w:t>
      </w:r>
      <w:r w:rsidR="009B355E" w:rsidRPr="004657BA">
        <w:t> ;</w:t>
      </w:r>
    </w:p>
    <w:p w14:paraId="08A03A11" w14:textId="6C109DA9" w:rsidR="00DD701C" w:rsidRPr="004657BA" w:rsidRDefault="00DD701C" w:rsidP="002B3C96">
      <w:pPr>
        <w:pStyle w:val="Paragraphedeliste"/>
        <w:numPr>
          <w:ilvl w:val="1"/>
          <w:numId w:val="5"/>
        </w:numPr>
      </w:pPr>
      <w:r w:rsidRPr="004657BA">
        <w:t xml:space="preserve">Annexe </w:t>
      </w:r>
      <w:r w:rsidR="00D7666F" w:rsidRPr="004657BA">
        <w:t>prix</w:t>
      </w:r>
      <w:r w:rsidRPr="004657BA">
        <w:t> : Bordereau des Prix Unitaires (BPU)</w:t>
      </w:r>
      <w:r w:rsidR="009B355E" w:rsidRPr="004657BA">
        <w:t> ;</w:t>
      </w:r>
    </w:p>
    <w:p w14:paraId="4E412E8B" w14:textId="4D678747" w:rsidR="00DD701C" w:rsidRPr="004657BA" w:rsidRDefault="00DD701C" w:rsidP="002B3C96">
      <w:pPr>
        <w:pStyle w:val="Paragraphedeliste"/>
        <w:numPr>
          <w:ilvl w:val="1"/>
          <w:numId w:val="5"/>
        </w:numPr>
      </w:pPr>
      <w:r w:rsidRPr="004657BA">
        <w:t xml:space="preserve">Annexe </w:t>
      </w:r>
      <w:r w:rsidR="00D7666F" w:rsidRPr="004657BA">
        <w:t xml:space="preserve">valeur </w:t>
      </w:r>
      <w:r w:rsidR="00191A59" w:rsidRPr="004657BA">
        <w:t>technique :</w:t>
      </w:r>
      <w:r w:rsidRPr="004657BA">
        <w:t xml:space="preserve"> Bordereau de réponse au critère « Valeurs techniques de l’offre »</w:t>
      </w:r>
      <w:r w:rsidR="009B355E" w:rsidRPr="004657BA">
        <w:t> ;</w:t>
      </w:r>
    </w:p>
    <w:p w14:paraId="7263FE47" w14:textId="77777777" w:rsidR="00692388" w:rsidRDefault="00DD701C" w:rsidP="002B3C96">
      <w:pPr>
        <w:pStyle w:val="Paragraphedeliste"/>
        <w:numPr>
          <w:ilvl w:val="1"/>
          <w:numId w:val="5"/>
        </w:numPr>
      </w:pPr>
      <w:r w:rsidRPr="004657BA">
        <w:t>Annexe</w:t>
      </w:r>
      <w:r w:rsidR="00D7666F" w:rsidRPr="004657BA">
        <w:t xml:space="preserve"> valeur</w:t>
      </w:r>
      <w:r w:rsidR="00191A59" w:rsidRPr="004657BA">
        <w:t xml:space="preserve"> </w:t>
      </w:r>
      <w:r w:rsidR="00E52AA3" w:rsidRPr="004657BA">
        <w:t>environnementale :</w:t>
      </w:r>
      <w:r w:rsidRPr="004657BA">
        <w:t xml:space="preserve"> Bordereau de réponse au critère « Aspects environnementaux » </w:t>
      </w:r>
    </w:p>
    <w:p w14:paraId="2652FC07" w14:textId="32514229" w:rsidR="00DD701C" w:rsidRPr="004657BA" w:rsidRDefault="00DD701C" w:rsidP="002B3C96">
      <w:pPr>
        <w:pStyle w:val="Paragraphedeliste"/>
        <w:numPr>
          <w:ilvl w:val="1"/>
          <w:numId w:val="5"/>
        </w:numPr>
      </w:pPr>
      <w:r w:rsidRPr="004657BA">
        <w:t xml:space="preserve">Annexe </w:t>
      </w:r>
      <w:r w:rsidR="00D7666F" w:rsidRPr="004657BA">
        <w:t>MT</w:t>
      </w:r>
      <w:r w:rsidRPr="004657BA">
        <w:t> : Mémoire Technique</w:t>
      </w:r>
      <w:r w:rsidR="009B355E" w:rsidRPr="004657BA">
        <w:t>.</w:t>
      </w:r>
    </w:p>
    <w:p w14:paraId="78A3C234" w14:textId="589B6FAF" w:rsidR="00DD701C" w:rsidRDefault="00DD701C" w:rsidP="00692388">
      <w:pPr>
        <w:pStyle w:val="Paragraphedeliste"/>
        <w:numPr>
          <w:ilvl w:val="0"/>
          <w:numId w:val="0"/>
        </w:numPr>
        <w:ind w:left="720"/>
      </w:pPr>
    </w:p>
    <w:p w14:paraId="4C175C2F" w14:textId="01E89DC4" w:rsidR="00E33558" w:rsidRDefault="00DD701C" w:rsidP="00692388">
      <w:pPr>
        <w:pStyle w:val="Paragraphedeliste"/>
      </w:pPr>
      <w:r w:rsidRPr="002A25F1">
        <w:t>Pièce N°2 : Le présent</w:t>
      </w:r>
      <w:r w:rsidR="002E22B3" w:rsidRPr="002A25F1">
        <w:t xml:space="preserve"> cahier des clauses techniques</w:t>
      </w:r>
      <w:r w:rsidR="002E22B3">
        <w:t xml:space="preserve"> administratives</w:t>
      </w:r>
      <w:r w:rsidR="002E22B3" w:rsidRPr="002A25F1">
        <w:t xml:space="preserve"> particulières </w:t>
      </w:r>
      <w:r w:rsidR="002E22B3">
        <w:t xml:space="preserve">(CCAP </w:t>
      </w:r>
      <w:r w:rsidR="00B81017">
        <w:rPr>
          <w:i/>
          <w:iCs/>
          <w:smallCaps/>
        </w:rPr>
        <w:t xml:space="preserve">GPM-G </w:t>
      </w:r>
      <w:r w:rsidR="00B81017" w:rsidRPr="008076A0">
        <w:rPr>
          <w:i/>
          <w:iCs/>
          <w:smallCaps/>
        </w:rPr>
        <w:t>S</w:t>
      </w:r>
      <w:r w:rsidR="00B81017">
        <w:rPr>
          <w:i/>
          <w:iCs/>
          <w:smallCaps/>
        </w:rPr>
        <w:t>G-</w:t>
      </w:r>
      <w:r w:rsidR="00B81017" w:rsidRPr="008076A0">
        <w:rPr>
          <w:i/>
          <w:iCs/>
          <w:smallCaps/>
        </w:rPr>
        <w:t>2</w:t>
      </w:r>
      <w:r w:rsidR="00B81017">
        <w:rPr>
          <w:i/>
          <w:iCs/>
          <w:smallCaps/>
        </w:rPr>
        <w:t>5-</w:t>
      </w:r>
      <w:r w:rsidR="00B81017" w:rsidRPr="008076A0">
        <w:rPr>
          <w:i/>
          <w:iCs/>
          <w:smallCaps/>
        </w:rPr>
        <w:t>0</w:t>
      </w:r>
      <w:r w:rsidR="009A1147">
        <w:rPr>
          <w:i/>
          <w:iCs/>
          <w:smallCaps/>
        </w:rPr>
        <w:t>3</w:t>
      </w:r>
      <w:r w:rsidR="00C51D33">
        <w:rPr>
          <w:i/>
          <w:iCs/>
          <w:smallCaps/>
        </w:rPr>
        <w:t xml:space="preserve"> PESEE R</w:t>
      </w:r>
      <w:r w:rsidR="00B81017" w:rsidRPr="008076A0">
        <w:rPr>
          <w:i/>
          <w:iCs/>
          <w:smallCaps/>
        </w:rPr>
        <w:t>X</w:t>
      </w:r>
      <w:r w:rsidR="002E22B3" w:rsidRPr="002A25F1">
        <w:t>)</w:t>
      </w:r>
    </w:p>
    <w:p w14:paraId="5AAAE8F4" w14:textId="349472EC" w:rsidR="00E33558" w:rsidRDefault="00DD701C" w:rsidP="00692388">
      <w:pPr>
        <w:pStyle w:val="Paragraphedeliste"/>
      </w:pPr>
      <w:r w:rsidRPr="002A25F1">
        <w:lastRenderedPageBreak/>
        <w:t>Pièce N°3 : Le cahier des clauses techniques particulières (CCTP</w:t>
      </w:r>
      <w:r w:rsidRPr="006C2D61">
        <w:t xml:space="preserve"> </w:t>
      </w:r>
      <w:r w:rsidR="00B81017">
        <w:rPr>
          <w:i/>
          <w:iCs/>
          <w:smallCaps/>
        </w:rPr>
        <w:t xml:space="preserve">GPM-G </w:t>
      </w:r>
      <w:r w:rsidR="00B81017" w:rsidRPr="008076A0">
        <w:rPr>
          <w:i/>
          <w:iCs/>
          <w:smallCaps/>
        </w:rPr>
        <w:t>S</w:t>
      </w:r>
      <w:r w:rsidR="00B81017">
        <w:rPr>
          <w:i/>
          <w:iCs/>
          <w:smallCaps/>
        </w:rPr>
        <w:t>G-</w:t>
      </w:r>
      <w:r w:rsidR="00B81017" w:rsidRPr="008076A0">
        <w:rPr>
          <w:i/>
          <w:iCs/>
          <w:smallCaps/>
        </w:rPr>
        <w:t>2</w:t>
      </w:r>
      <w:r w:rsidR="00B81017">
        <w:rPr>
          <w:i/>
          <w:iCs/>
          <w:smallCaps/>
        </w:rPr>
        <w:t>5-</w:t>
      </w:r>
      <w:r w:rsidR="00B81017" w:rsidRPr="008076A0">
        <w:rPr>
          <w:i/>
          <w:iCs/>
          <w:smallCaps/>
        </w:rPr>
        <w:t>0</w:t>
      </w:r>
      <w:r w:rsidR="009A1147">
        <w:rPr>
          <w:i/>
          <w:iCs/>
          <w:smallCaps/>
        </w:rPr>
        <w:t>3</w:t>
      </w:r>
      <w:r w:rsidR="00C51D33">
        <w:rPr>
          <w:i/>
          <w:iCs/>
          <w:smallCaps/>
        </w:rPr>
        <w:t xml:space="preserve"> PESEE </w:t>
      </w:r>
      <w:r w:rsidR="00B81017" w:rsidRPr="008076A0">
        <w:rPr>
          <w:i/>
          <w:iCs/>
          <w:smallCaps/>
        </w:rPr>
        <w:t>RX</w:t>
      </w:r>
      <w:r w:rsidRPr="002A25F1">
        <w:t>)</w:t>
      </w:r>
      <w:r w:rsidR="009B355E">
        <w:t>.</w:t>
      </w:r>
    </w:p>
    <w:p w14:paraId="3475E075" w14:textId="77777777" w:rsidR="00E33558" w:rsidRDefault="00E33558" w:rsidP="00692388">
      <w:pPr>
        <w:pStyle w:val="Paragraphedeliste"/>
        <w:numPr>
          <w:ilvl w:val="0"/>
          <w:numId w:val="0"/>
        </w:numPr>
        <w:ind w:left="720"/>
      </w:pPr>
    </w:p>
    <w:p w14:paraId="01FB3160" w14:textId="454C2D36" w:rsidR="00E33558" w:rsidRDefault="00E33558" w:rsidP="00692388">
      <w:pPr>
        <w:pStyle w:val="Paragraphedeliste"/>
      </w:pPr>
      <w:r w:rsidRPr="00E33558">
        <w:t xml:space="preserve">Pièce N°4 : </w:t>
      </w:r>
      <w:r>
        <w:t xml:space="preserve">L’annexe au dossier de candidature </w:t>
      </w:r>
      <w:r w:rsidR="00E52AA3">
        <w:t>(</w:t>
      </w:r>
      <w:r w:rsidR="00C83A6C">
        <w:t>ADC</w:t>
      </w:r>
      <w:r w:rsidR="00E52AA3">
        <w:t xml:space="preserve"> </w:t>
      </w:r>
      <w:r w:rsidR="00B81017">
        <w:rPr>
          <w:i/>
          <w:iCs/>
          <w:smallCaps/>
        </w:rPr>
        <w:t xml:space="preserve">GPM-G </w:t>
      </w:r>
      <w:r w:rsidR="00B81017" w:rsidRPr="008076A0">
        <w:rPr>
          <w:i/>
          <w:iCs/>
          <w:smallCaps/>
        </w:rPr>
        <w:t>S</w:t>
      </w:r>
      <w:r w:rsidR="00B81017">
        <w:rPr>
          <w:i/>
          <w:iCs/>
          <w:smallCaps/>
        </w:rPr>
        <w:t>G-</w:t>
      </w:r>
      <w:r w:rsidR="00B81017" w:rsidRPr="008076A0">
        <w:rPr>
          <w:i/>
          <w:iCs/>
          <w:smallCaps/>
        </w:rPr>
        <w:t>2</w:t>
      </w:r>
      <w:r w:rsidR="00B81017">
        <w:rPr>
          <w:i/>
          <w:iCs/>
          <w:smallCaps/>
        </w:rPr>
        <w:t>5-</w:t>
      </w:r>
      <w:r w:rsidR="00B81017" w:rsidRPr="008076A0">
        <w:rPr>
          <w:i/>
          <w:iCs/>
          <w:smallCaps/>
        </w:rPr>
        <w:t>0</w:t>
      </w:r>
      <w:r w:rsidR="00C51D33">
        <w:rPr>
          <w:i/>
          <w:iCs/>
          <w:smallCaps/>
        </w:rPr>
        <w:t xml:space="preserve">3 </w:t>
      </w:r>
      <w:proofErr w:type="gramStart"/>
      <w:r w:rsidR="00C51D33">
        <w:rPr>
          <w:i/>
          <w:iCs/>
          <w:smallCaps/>
        </w:rPr>
        <w:t xml:space="preserve">PESEE </w:t>
      </w:r>
      <w:r w:rsidR="00B81017" w:rsidRPr="008076A0">
        <w:rPr>
          <w:i/>
          <w:iCs/>
          <w:smallCaps/>
        </w:rPr>
        <w:t xml:space="preserve"> RX</w:t>
      </w:r>
      <w:proofErr w:type="gramEnd"/>
      <w:r w:rsidR="00E52AA3">
        <w:t>)</w:t>
      </w:r>
      <w:r w:rsidR="009B355E">
        <w:t>.</w:t>
      </w:r>
    </w:p>
    <w:p w14:paraId="59C39C8E" w14:textId="1CA1DF28" w:rsidR="00DD701C" w:rsidRPr="00BD48F4" w:rsidRDefault="00DD701C" w:rsidP="00692388">
      <w:pPr>
        <w:pStyle w:val="Paragraphedeliste"/>
        <w:numPr>
          <w:ilvl w:val="0"/>
          <w:numId w:val="0"/>
        </w:numPr>
        <w:ind w:left="720"/>
      </w:pPr>
    </w:p>
    <w:p w14:paraId="4059DF7C" w14:textId="22C638A9" w:rsidR="00DD701C" w:rsidRDefault="00DD701C" w:rsidP="000F2D1F">
      <w:pPr>
        <w:pStyle w:val="Titre2"/>
      </w:pPr>
      <w:bookmarkStart w:id="32" w:name="_Toc161406924"/>
      <w:bookmarkStart w:id="33" w:name="_Toc195214489"/>
      <w:bookmarkStart w:id="34" w:name="_Toc195214529"/>
      <w:bookmarkStart w:id="35" w:name="_Toc196214548"/>
      <w:r w:rsidRPr="00BD48F4">
        <w:t xml:space="preserve">Les </w:t>
      </w:r>
      <w:r>
        <w:t>p</w:t>
      </w:r>
      <w:r w:rsidRPr="00BD48F4">
        <w:t>ièces générales (</w:t>
      </w:r>
      <w:r w:rsidR="00F65780">
        <w:t>*</w:t>
      </w:r>
      <w:r w:rsidRPr="00BD48F4">
        <w:t>)</w:t>
      </w:r>
      <w:bookmarkEnd w:id="32"/>
      <w:bookmarkEnd w:id="33"/>
      <w:bookmarkEnd w:id="34"/>
      <w:bookmarkEnd w:id="35"/>
    </w:p>
    <w:p w14:paraId="3AF308D0" w14:textId="7A046776" w:rsidR="00DD701C" w:rsidRPr="00BD48F4" w:rsidRDefault="00DD701C" w:rsidP="00692388">
      <w:pPr>
        <w:pStyle w:val="Paragraphedeliste"/>
      </w:pPr>
      <w:r w:rsidRPr="00BD48F4">
        <w:t>Pièce N°5 : Le code des marchés publics</w:t>
      </w:r>
      <w:r w:rsidR="009B355E">
        <w:t>.</w:t>
      </w:r>
    </w:p>
    <w:p w14:paraId="5E9D001B" w14:textId="32773E97" w:rsidR="00DD701C" w:rsidRPr="00BD48F4" w:rsidRDefault="00DD701C" w:rsidP="00692388">
      <w:pPr>
        <w:pStyle w:val="Paragraphedeliste"/>
      </w:pPr>
      <w:r w:rsidRPr="00BD48F4">
        <w:t>Pièce N°6 : Le cahier des clauses administratives générales dit CCAG/</w:t>
      </w:r>
      <w:r>
        <w:t>PI</w:t>
      </w:r>
      <w:r w:rsidR="009B355E">
        <w:t>.</w:t>
      </w:r>
      <w:r w:rsidRPr="00BD48F4">
        <w:t xml:space="preserve"> </w:t>
      </w:r>
      <w:r>
        <w:t>(</w:t>
      </w:r>
      <w:r w:rsidR="00F65780">
        <w:t>*</w:t>
      </w:r>
      <w:r>
        <w:t>)</w:t>
      </w:r>
    </w:p>
    <w:p w14:paraId="4819E798" w14:textId="21F30A41" w:rsidR="00DD701C" w:rsidRPr="00BD48F4" w:rsidRDefault="00DD701C" w:rsidP="00692388">
      <w:r w:rsidRPr="00BD48F4">
        <w:t>(</w:t>
      </w:r>
      <w:r w:rsidR="00F65780">
        <w:t>*</w:t>
      </w:r>
      <w:r w:rsidRPr="00BD48F4">
        <w:t>) Documents non joints dont le titulaire déclare avoir pris connaissance</w:t>
      </w:r>
      <w:r w:rsidR="009B355E">
        <w:t>.</w:t>
      </w:r>
    </w:p>
    <w:p w14:paraId="24D69F9E" w14:textId="77777777" w:rsidR="00DD701C" w:rsidRPr="00BD48F4" w:rsidRDefault="00DD701C" w:rsidP="00692388">
      <w:r w:rsidRPr="00BD48F4">
        <w:t xml:space="preserve">Les documents applicables sont ceux en vigueur à la date de signature par le titulaire du présent marché. </w:t>
      </w:r>
    </w:p>
    <w:p w14:paraId="58B62B5E" w14:textId="01A9383E" w:rsidR="00DD701C" w:rsidRPr="00BD48F4" w:rsidRDefault="00DD701C" w:rsidP="00692388">
      <w:r w:rsidRPr="00BD48F4">
        <w:t>Seuls les exemplaires conservés dans les locaux d</w:t>
      </w:r>
      <w:r w:rsidR="00F65780">
        <w:t>u GPMG</w:t>
      </w:r>
      <w:r w:rsidRPr="00BD48F4">
        <w:t xml:space="preserve"> font foi.</w:t>
      </w:r>
    </w:p>
    <w:p w14:paraId="103AD582" w14:textId="52A96D70" w:rsidR="000C4F1F" w:rsidRPr="000C4F1F" w:rsidRDefault="000C358F" w:rsidP="000C4F1F">
      <w:pPr>
        <w:pStyle w:val="Titre1"/>
      </w:pPr>
      <w:bookmarkStart w:id="36" w:name="_Toc161406941"/>
      <w:r>
        <w:t xml:space="preserve"> </w:t>
      </w:r>
      <w:bookmarkStart w:id="37" w:name="_Toc195214490"/>
      <w:bookmarkStart w:id="38" w:name="_Toc195214530"/>
      <w:bookmarkStart w:id="39" w:name="_Toc196214549"/>
      <w:r w:rsidRPr="00BD48F4">
        <w:t xml:space="preserve">PRIX </w:t>
      </w:r>
      <w:r w:rsidR="002D7ACA">
        <w:t>–</w:t>
      </w:r>
      <w:r w:rsidRPr="00BD48F4">
        <w:t xml:space="preserve"> </w:t>
      </w:r>
      <w:bookmarkEnd w:id="36"/>
      <w:r w:rsidR="002D7ACA">
        <w:t>REVISION DES PRIX</w:t>
      </w:r>
      <w:bookmarkEnd w:id="37"/>
      <w:bookmarkEnd w:id="38"/>
      <w:bookmarkEnd w:id="39"/>
    </w:p>
    <w:p w14:paraId="0653DCA2" w14:textId="77777777" w:rsidR="000C358F" w:rsidRDefault="000C358F" w:rsidP="000F2D1F">
      <w:pPr>
        <w:pStyle w:val="Titre2"/>
      </w:pPr>
      <w:bookmarkStart w:id="40" w:name="_Toc161406942"/>
      <w:bookmarkStart w:id="41" w:name="_Toc195214491"/>
      <w:bookmarkStart w:id="42" w:name="_Toc195214531"/>
      <w:bookmarkStart w:id="43" w:name="_Toc196214550"/>
      <w:r w:rsidRPr="000C358F">
        <w:t>Formes des prix</w:t>
      </w:r>
      <w:bookmarkEnd w:id="40"/>
      <w:bookmarkEnd w:id="41"/>
      <w:bookmarkEnd w:id="42"/>
      <w:bookmarkEnd w:id="43"/>
      <w:r w:rsidRPr="000C358F">
        <w:t xml:space="preserve"> </w:t>
      </w:r>
    </w:p>
    <w:p w14:paraId="4556195C" w14:textId="070D07BF" w:rsidR="000C4F1F" w:rsidRPr="00BD48F4" w:rsidRDefault="000C358F" w:rsidP="000C4F1F">
      <w:r w:rsidRPr="00272836">
        <w:t>Cet article est négociable.</w:t>
      </w:r>
    </w:p>
    <w:p w14:paraId="2C9B6C6F" w14:textId="3D5B2BD7" w:rsidR="00692388" w:rsidRDefault="000C358F" w:rsidP="000F2D1F">
      <w:pPr>
        <w:pStyle w:val="Titre2"/>
      </w:pPr>
      <w:bookmarkStart w:id="44" w:name="_Toc161406943"/>
      <w:bookmarkStart w:id="45" w:name="_Toc195214492"/>
      <w:bookmarkStart w:id="46" w:name="_Toc195214532"/>
      <w:bookmarkStart w:id="47" w:name="_Toc196214551"/>
      <w:r w:rsidRPr="000C358F">
        <w:t>Unités d’œuvre</w:t>
      </w:r>
      <w:bookmarkEnd w:id="44"/>
      <w:bookmarkEnd w:id="45"/>
      <w:bookmarkEnd w:id="46"/>
      <w:bookmarkEnd w:id="47"/>
    </w:p>
    <w:p w14:paraId="72489E7A" w14:textId="194771CC" w:rsidR="004A78B3" w:rsidRPr="00692388" w:rsidRDefault="009E09AE" w:rsidP="00692388">
      <w:pPr>
        <w:rPr>
          <w:rFonts w:eastAsia="Times New Roman"/>
          <w:lang w:val="fr-FR"/>
        </w:rPr>
      </w:pPr>
      <w:r w:rsidRPr="00692388">
        <w:t xml:space="preserve">L'UO1 rémunère </w:t>
      </w:r>
      <w:r w:rsidR="000B19F6">
        <w:t>l</w:t>
      </w:r>
      <w:r w:rsidRPr="00692388">
        <w:t xml:space="preserve">a mission de </w:t>
      </w:r>
      <w:r w:rsidR="004A78B3" w:rsidRPr="00692388">
        <w:t xml:space="preserve">pesée des postes </w:t>
      </w:r>
      <w:r w:rsidR="00146186" w:rsidRPr="00692388">
        <w:t>(</w:t>
      </w:r>
      <w:r w:rsidR="004A78B3" w:rsidRPr="00692388">
        <w:t>les uns par rapport aux autres</w:t>
      </w:r>
      <w:r w:rsidR="00146186" w:rsidRPr="00692388">
        <w:t>)</w:t>
      </w:r>
      <w:r w:rsidR="004A78B3" w:rsidRPr="00692388">
        <w:t xml:space="preserve">. </w:t>
      </w:r>
    </w:p>
    <w:p w14:paraId="7AD2785D" w14:textId="506C8A52" w:rsidR="00692388" w:rsidRDefault="009E09AE" w:rsidP="00692388">
      <w:pPr>
        <w:rPr>
          <w:lang w:eastAsia="fr-FR"/>
        </w:rPr>
      </w:pPr>
      <w:r w:rsidRPr="009E09AE">
        <w:rPr>
          <w:lang w:eastAsia="fr-FR"/>
        </w:rPr>
        <w:t xml:space="preserve">L'UO2 rémunère </w:t>
      </w:r>
      <w:r w:rsidR="000B19F6">
        <w:rPr>
          <w:lang w:eastAsia="fr-FR"/>
        </w:rPr>
        <w:t>l</w:t>
      </w:r>
      <w:r w:rsidR="00AE1F59">
        <w:rPr>
          <w:lang w:eastAsia="fr-FR"/>
        </w:rPr>
        <w:t>e contrôle</w:t>
      </w:r>
      <w:r w:rsidR="00F01C9A">
        <w:rPr>
          <w:lang w:eastAsia="fr-FR"/>
        </w:rPr>
        <w:t xml:space="preserve"> de l’adéquation des postes par rapport à la convention collective.</w:t>
      </w:r>
    </w:p>
    <w:p w14:paraId="773AD6D9" w14:textId="003E8DCC" w:rsidR="00D52701" w:rsidRDefault="00D52701" w:rsidP="00692388">
      <w:pPr>
        <w:rPr>
          <w:lang w:eastAsia="fr-FR"/>
        </w:rPr>
      </w:pPr>
      <w:r>
        <w:rPr>
          <w:lang w:eastAsia="fr-FR"/>
        </w:rPr>
        <w:t xml:space="preserve">Dans le cas des deux UO : </w:t>
      </w:r>
    </w:p>
    <w:p w14:paraId="11E51B4E" w14:textId="5368B142" w:rsidR="00CC2CB8" w:rsidRDefault="00CC2CB8" w:rsidP="00692388">
      <w:pPr>
        <w:pStyle w:val="Titre3"/>
      </w:pPr>
      <w:bookmarkStart w:id="48" w:name="_Toc195214493"/>
      <w:bookmarkStart w:id="49" w:name="_Toc195214533"/>
      <w:bookmarkStart w:id="50" w:name="_Toc196214552"/>
      <w:r>
        <w:t>Notion de campagne</w:t>
      </w:r>
      <w:r w:rsidR="00692388">
        <w:t> :</w:t>
      </w:r>
      <w:bookmarkEnd w:id="48"/>
      <w:bookmarkEnd w:id="49"/>
      <w:bookmarkEnd w:id="50"/>
    </w:p>
    <w:p w14:paraId="35DA8BC2" w14:textId="77777777" w:rsidR="00692388" w:rsidRDefault="00D52701" w:rsidP="00692388">
      <w:r w:rsidRPr="00CC2CB8">
        <w:t xml:space="preserve">Le GPMG souhaite faire cette mission par « campagnes ». </w:t>
      </w:r>
      <w:r w:rsidRPr="00CC2CB8">
        <w:br/>
        <w:t>Chaque campagne portera sur plusieurs postes (</w:t>
      </w:r>
      <w:r w:rsidR="00692388">
        <w:t>de 1 à 20</w:t>
      </w:r>
      <w:r w:rsidRPr="00CC2CB8">
        <w:t xml:space="preserve"> postes seront à étudier</w:t>
      </w:r>
      <w:r w:rsidR="00692388">
        <w:t xml:space="preserve"> par campagne, 40 au maximum</w:t>
      </w:r>
      <w:r w:rsidRPr="00CC2CB8">
        <w:t>).</w:t>
      </w:r>
    </w:p>
    <w:p w14:paraId="452598E2" w14:textId="13DC7F00" w:rsidR="00692388" w:rsidRDefault="00D52701" w:rsidP="00692388">
      <w:pPr>
        <w:pStyle w:val="Titre3"/>
      </w:pPr>
      <w:r w:rsidRPr="00CC2CB8">
        <w:rPr>
          <w:rFonts w:ascii="Arial" w:eastAsiaTheme="minorHAnsi" w:hAnsi="Arial" w:cstheme="minorBidi"/>
          <w:color w:val="auto"/>
          <w:szCs w:val="22"/>
        </w:rPr>
        <w:t xml:space="preserve"> </w:t>
      </w:r>
      <w:bookmarkStart w:id="51" w:name="_Toc195214494"/>
      <w:bookmarkStart w:id="52" w:name="_Toc195214534"/>
      <w:bookmarkStart w:id="53" w:name="_Toc196214553"/>
      <w:r w:rsidR="00692388">
        <w:t>Déclinaison des UO par frais fixes et frais par dossier :</w:t>
      </w:r>
      <w:bookmarkEnd w:id="51"/>
      <w:bookmarkEnd w:id="52"/>
      <w:bookmarkEnd w:id="53"/>
    </w:p>
    <w:p w14:paraId="3006C65D" w14:textId="37FE366E" w:rsidR="00CC2CB8" w:rsidRDefault="00A812C2" w:rsidP="00692388">
      <w:r w:rsidRPr="00CC2CB8">
        <w:t xml:space="preserve">Chaque campagne </w:t>
      </w:r>
      <w:r w:rsidR="002A01D2" w:rsidRPr="00CC2CB8">
        <w:t xml:space="preserve">comportera </w:t>
      </w:r>
      <w:r w:rsidRPr="00CC2CB8">
        <w:t xml:space="preserve">des frais fixes </w:t>
      </w:r>
      <w:r w:rsidR="005E4B18" w:rsidRPr="00CC2CB8">
        <w:t>(frais de déplacement</w:t>
      </w:r>
      <w:r w:rsidR="00B6256E" w:rsidRPr="00CC2CB8">
        <w:t>,</w:t>
      </w:r>
      <w:r w:rsidR="00692388">
        <w:t xml:space="preserve"> mobilisation, </w:t>
      </w:r>
      <w:proofErr w:type="spellStart"/>
      <w:r w:rsidR="00692388">
        <w:t>reporting</w:t>
      </w:r>
      <w:proofErr w:type="spellEnd"/>
      <w:r w:rsidR="00621CD0">
        <w:t>,</w:t>
      </w:r>
      <w:r w:rsidR="00B6256E" w:rsidRPr="00CC2CB8">
        <w:t xml:space="preserve"> </w:t>
      </w:r>
      <w:r w:rsidR="00270368" w:rsidRPr="00CC2CB8">
        <w:t>etc.</w:t>
      </w:r>
      <w:r w:rsidR="005E4B18" w:rsidRPr="00CC2CB8">
        <w:t xml:space="preserve">) </w:t>
      </w:r>
      <w:r w:rsidR="00B255ED" w:rsidRPr="00CC2CB8">
        <w:t>et des frais variables (</w:t>
      </w:r>
      <w:r w:rsidR="005E63E3" w:rsidRPr="00CC2CB8">
        <w:t xml:space="preserve">ces derniers étant </w:t>
      </w:r>
      <w:r w:rsidR="00B255ED" w:rsidRPr="00CC2CB8">
        <w:t>selon le nombre de postes qui seront à étudier</w:t>
      </w:r>
      <w:r w:rsidR="00CC2CB8" w:rsidRPr="00CC2CB8">
        <w:t>, soit en pesée, soit au regard de la convention</w:t>
      </w:r>
      <w:r w:rsidR="00B255ED" w:rsidRPr="00CC2CB8">
        <w:t>).</w:t>
      </w:r>
    </w:p>
    <w:p w14:paraId="6DB4CF30" w14:textId="3DCDCEC4" w:rsidR="00692388" w:rsidRPr="00692388" w:rsidRDefault="00692388" w:rsidP="00692388">
      <w:r>
        <w:t xml:space="preserve">Pour chaque campagne il est procédé à </w:t>
      </w:r>
      <w:proofErr w:type="gramStart"/>
      <w:r>
        <w:t>l’addition  Frais</w:t>
      </w:r>
      <w:proofErr w:type="gramEnd"/>
      <w:r>
        <w:t xml:space="preserve"> fixes + Frais variables x nombre de dossiers </w:t>
      </w:r>
    </w:p>
    <w:p w14:paraId="2C166E2A" w14:textId="77777777" w:rsidR="00692388" w:rsidRDefault="00CC2CB8" w:rsidP="00692388">
      <w:pPr>
        <w:pStyle w:val="Titre3"/>
      </w:pPr>
      <w:bookmarkStart w:id="54" w:name="_Toc195214495"/>
      <w:bookmarkStart w:id="55" w:name="_Toc195214535"/>
      <w:bookmarkStart w:id="56" w:name="_Toc196214554"/>
      <w:r>
        <w:t>Type de mission</w:t>
      </w:r>
      <w:r w:rsidR="00692388">
        <w:t> :</w:t>
      </w:r>
      <w:bookmarkEnd w:id="54"/>
      <w:bookmarkEnd w:id="55"/>
      <w:bookmarkEnd w:id="56"/>
    </w:p>
    <w:p w14:paraId="44E8C327" w14:textId="12277AB3" w:rsidR="00CC2CB8" w:rsidRPr="00692388" w:rsidRDefault="00692388" w:rsidP="00692388">
      <w:r w:rsidRPr="00692388">
        <w:t>C</w:t>
      </w:r>
      <w:r w:rsidR="00CC2CB8" w:rsidRPr="00692388">
        <w:t xml:space="preserve">haque type de </w:t>
      </w:r>
      <w:r w:rsidR="00D52701" w:rsidRPr="00692388">
        <w:t xml:space="preserve">mission pourra se faire en présentiel ou bien en distanciel. </w:t>
      </w:r>
    </w:p>
    <w:p w14:paraId="470380AD" w14:textId="566E9F45" w:rsidR="00692388" w:rsidRPr="00692388" w:rsidRDefault="00CC2CB8" w:rsidP="00692388">
      <w:r w:rsidRPr="00692388">
        <w:t xml:space="preserve">Les missions en </w:t>
      </w:r>
      <w:r w:rsidR="00D52701" w:rsidRPr="00692388">
        <w:t xml:space="preserve">présentiel </w:t>
      </w:r>
      <w:r w:rsidRPr="00692388">
        <w:t>se déroulent</w:t>
      </w:r>
      <w:r w:rsidR="00D52701" w:rsidRPr="00692388">
        <w:t xml:space="preserve"> dans les locaux du GMP</w:t>
      </w:r>
      <w:r w:rsidR="002E6B5F" w:rsidRPr="00692388">
        <w:t>-</w:t>
      </w:r>
      <w:r w:rsidR="00D52701" w:rsidRPr="00692388">
        <w:t xml:space="preserve">Guyane. </w:t>
      </w:r>
      <w:r w:rsidR="00D52701" w:rsidRPr="00692388">
        <w:br/>
        <w:t xml:space="preserve">Dans ce cas, les frais de déplacement </w:t>
      </w:r>
      <w:r w:rsidR="00653A06" w:rsidRPr="00692388">
        <w:t xml:space="preserve">seront </w:t>
      </w:r>
      <w:r w:rsidRPr="00692388">
        <w:t xml:space="preserve">payés en sus, </w:t>
      </w:r>
      <w:r w:rsidR="00D557F2">
        <w:t xml:space="preserve">remboursement </w:t>
      </w:r>
      <w:r w:rsidRPr="00692388">
        <w:t>aux frais réels, et selon la politique voyages</w:t>
      </w:r>
      <w:r w:rsidR="00D557F2">
        <w:t xml:space="preserve"> en vigueur au GPM-Guyane</w:t>
      </w:r>
      <w:r w:rsidR="00621CD0">
        <w:t>.</w:t>
      </w:r>
      <w:r w:rsidRPr="00692388">
        <w:t xml:space="preserve"> </w:t>
      </w:r>
    </w:p>
    <w:p w14:paraId="1E0817CF" w14:textId="6C6C512D" w:rsidR="00CC2CB8" w:rsidRDefault="00CC2CB8" w:rsidP="00692388">
      <w:r w:rsidRPr="00692388">
        <w:t>Les missions en distanciel se font via</w:t>
      </w:r>
      <w:r w:rsidR="00D52701" w:rsidRPr="00692388">
        <w:t xml:space="preserve"> un outil informatique</w:t>
      </w:r>
      <w:r w:rsidRPr="00692388">
        <w:t xml:space="preserve"> adapté à la charge du titulaire</w:t>
      </w:r>
      <w:r w:rsidR="00D52701" w:rsidRPr="00692388">
        <w:t xml:space="preserve"> (de type Teams ou Zoom).</w:t>
      </w:r>
    </w:p>
    <w:p w14:paraId="2A8C6C62" w14:textId="0E882843" w:rsidR="00692388" w:rsidRPr="00692388" w:rsidRDefault="00692388" w:rsidP="00692388">
      <w:pPr>
        <w:pStyle w:val="Titre3"/>
      </w:pPr>
      <w:bookmarkStart w:id="57" w:name="_Toc195214496"/>
      <w:bookmarkStart w:id="58" w:name="_Toc195214536"/>
      <w:bookmarkStart w:id="59" w:name="_Toc196214555"/>
      <w:r>
        <w:t>En résumé :</w:t>
      </w:r>
      <w:bookmarkEnd w:id="57"/>
      <w:bookmarkEnd w:id="58"/>
      <w:bookmarkEnd w:id="59"/>
    </w:p>
    <w:p w14:paraId="7057B734" w14:textId="3AA924C4" w:rsidR="00CC2CB8" w:rsidRPr="00692388" w:rsidRDefault="00CC2CB8" w:rsidP="00692388">
      <w:r w:rsidRPr="00692388">
        <w:lastRenderedPageBreak/>
        <w:t>Les prix des U</w:t>
      </w:r>
      <w:r w:rsidR="00FD6FEB">
        <w:t>O</w:t>
      </w:r>
      <w:r w:rsidRPr="00692388">
        <w:t xml:space="preserve"> tiennent compte des 4 possibilités (distanciel/présentiel, nature de l’UO) et sont présentés en Frais fixes par campagne et frais variables par dossier.</w:t>
      </w:r>
    </w:p>
    <w:p w14:paraId="64A1E44E" w14:textId="73FC7774" w:rsidR="000C358F" w:rsidRDefault="000C358F" w:rsidP="000F2D1F">
      <w:pPr>
        <w:pStyle w:val="Titre2"/>
      </w:pPr>
      <w:bookmarkStart w:id="60" w:name="_Toc195214497"/>
      <w:bookmarkStart w:id="61" w:name="_Toc195214537"/>
      <w:bookmarkStart w:id="62" w:name="_Toc196214556"/>
      <w:bookmarkStart w:id="63" w:name="_Toc161406944"/>
      <w:r w:rsidRPr="002D7ACA">
        <w:t>Contenu des prix</w:t>
      </w:r>
      <w:bookmarkEnd w:id="60"/>
      <w:bookmarkEnd w:id="61"/>
      <w:bookmarkEnd w:id="62"/>
      <w:r w:rsidRPr="002D7ACA">
        <w:t xml:space="preserve"> </w:t>
      </w:r>
      <w:bookmarkEnd w:id="63"/>
    </w:p>
    <w:p w14:paraId="31C07721" w14:textId="6B42DB92" w:rsidR="000C358F" w:rsidRPr="00FC4D2D" w:rsidRDefault="000C358F" w:rsidP="00692388">
      <w:r w:rsidRPr="00FC4D2D">
        <w:t>Le</w:t>
      </w:r>
      <w:r w:rsidR="00B300A7">
        <w:t>s</w:t>
      </w:r>
      <w:r w:rsidRPr="00FC4D2D">
        <w:t xml:space="preserve"> prix forfaitaire</w:t>
      </w:r>
      <w:r w:rsidR="00B300A7">
        <w:t>s</w:t>
      </w:r>
      <w:r w:rsidRPr="00FC4D2D">
        <w:t xml:space="preserve"> compre</w:t>
      </w:r>
      <w:r w:rsidR="00B300A7">
        <w:t>nnent</w:t>
      </w:r>
      <w:r w:rsidRPr="00FC4D2D">
        <w:t xml:space="preserve"> l’accomplissement de l’ensemble des prestations décrites dans les pièces contractuelles</w:t>
      </w:r>
      <w:r w:rsidR="008376D0" w:rsidRPr="00FC4D2D">
        <w:t>.</w:t>
      </w:r>
    </w:p>
    <w:p w14:paraId="79A38CEA" w14:textId="23E0AEED" w:rsidR="001817C1" w:rsidRDefault="00674513" w:rsidP="00692388">
      <w:r w:rsidRPr="00FC4D2D">
        <w:t xml:space="preserve">Ils incluent également la prise en charge des risques d'accidents, qu'ils concernent les personnes ou les tiers, susceptibles de survenir lors de l'exécution des prestations. </w:t>
      </w:r>
      <w:r w:rsidR="00803994">
        <w:br/>
      </w:r>
      <w:r w:rsidRPr="00FC4D2D">
        <w:t xml:space="preserve">Ainsi, aucun supplément de quelque nature que ce soit ne pourra être ajouté. </w:t>
      </w:r>
    </w:p>
    <w:p w14:paraId="752A725D" w14:textId="77777777" w:rsidR="00692388" w:rsidRDefault="00B300A7" w:rsidP="00692388">
      <w:r w:rsidRPr="00FC4D2D">
        <w:t xml:space="preserve">Les prix sont exprimés en euros. </w:t>
      </w:r>
    </w:p>
    <w:p w14:paraId="70B92A36" w14:textId="0003E087" w:rsidR="00CC2CB8" w:rsidRDefault="00CC2CB8" w:rsidP="00692388">
      <w:pPr>
        <w:pStyle w:val="Titre3"/>
      </w:pPr>
      <w:bookmarkStart w:id="64" w:name="_Toc195214498"/>
      <w:bookmarkStart w:id="65" w:name="_Toc195214538"/>
      <w:bookmarkStart w:id="66" w:name="_Toc196214557"/>
      <w:r>
        <w:t>Dans le cas des déplacements :</w:t>
      </w:r>
      <w:bookmarkEnd w:id="64"/>
      <w:bookmarkEnd w:id="65"/>
      <w:bookmarkEnd w:id="66"/>
    </w:p>
    <w:p w14:paraId="0A955507" w14:textId="3EEC42CA" w:rsidR="00CC2CB8" w:rsidRDefault="00CC2CB8" w:rsidP="00692388">
      <w:r>
        <w:t>Sont pris en charge par le GPM-Guyane</w:t>
      </w:r>
      <w:r w:rsidR="00FD6FEB">
        <w:t xml:space="preserve"> </w:t>
      </w:r>
      <w:r>
        <w:t>:</w:t>
      </w:r>
    </w:p>
    <w:p w14:paraId="1DEBA751" w14:textId="77777777" w:rsidR="00CC2CB8" w:rsidRDefault="00CC2CB8" w:rsidP="00692388">
      <w:pPr>
        <w:pStyle w:val="Paragraphedeliste"/>
      </w:pPr>
      <w:r>
        <w:t>Les frais d’avion</w:t>
      </w:r>
    </w:p>
    <w:p w14:paraId="747E839F" w14:textId="29FBEA7F" w:rsidR="00CC2CB8" w:rsidRDefault="00CC2CB8" w:rsidP="00692388">
      <w:pPr>
        <w:pStyle w:val="Paragraphedeliste"/>
      </w:pPr>
      <w:r>
        <w:t xml:space="preserve">Les locations de voiture en Guyane et </w:t>
      </w:r>
      <w:r w:rsidR="00D557F2">
        <w:t>de carburant</w:t>
      </w:r>
    </w:p>
    <w:p w14:paraId="348C699E" w14:textId="77777777" w:rsidR="00CC2CB8" w:rsidRDefault="00CC2CB8" w:rsidP="00692388">
      <w:pPr>
        <w:pStyle w:val="Paragraphedeliste"/>
      </w:pPr>
      <w:r>
        <w:t>Les frais d’hébergement</w:t>
      </w:r>
    </w:p>
    <w:p w14:paraId="09BC99CF" w14:textId="77777777" w:rsidR="00CC2CB8" w:rsidRDefault="00CC2CB8" w:rsidP="00692388">
      <w:r>
        <w:t>Seuls restent a priori à la charge du titulaire :</w:t>
      </w:r>
    </w:p>
    <w:p w14:paraId="236551A6" w14:textId="77777777" w:rsidR="00CC2CB8" w:rsidRDefault="00CC2CB8" w:rsidP="00692388">
      <w:pPr>
        <w:pStyle w:val="Paragraphedeliste"/>
      </w:pPr>
      <w:r>
        <w:t>Les frais en métropole</w:t>
      </w:r>
    </w:p>
    <w:p w14:paraId="00FA10AB" w14:textId="77777777" w:rsidR="00CC2CB8" w:rsidRPr="00CC2CB8" w:rsidRDefault="00CC2CB8" w:rsidP="00692388">
      <w:pPr>
        <w:pStyle w:val="Paragraphedeliste"/>
      </w:pPr>
      <w:r>
        <w:t>Les frais de restauration en Guyane.</w:t>
      </w:r>
    </w:p>
    <w:p w14:paraId="5D5A1AA2" w14:textId="10CE9FC8" w:rsidR="002C6C58" w:rsidRDefault="002D7ACA" w:rsidP="000F2D1F">
      <w:pPr>
        <w:pStyle w:val="Titre2"/>
      </w:pPr>
      <w:bookmarkStart w:id="67" w:name="_Toc195214499"/>
      <w:bookmarkStart w:id="68" w:name="_Toc195214539"/>
      <w:bookmarkStart w:id="69" w:name="_Toc196214558"/>
      <w:r w:rsidRPr="002D7ACA">
        <w:t>Révision des prix</w:t>
      </w:r>
      <w:bookmarkEnd w:id="67"/>
      <w:bookmarkEnd w:id="68"/>
      <w:bookmarkEnd w:id="69"/>
      <w:r w:rsidRPr="002D7ACA">
        <w:t xml:space="preserve"> </w:t>
      </w:r>
    </w:p>
    <w:p w14:paraId="044915FB" w14:textId="7EC86D9D" w:rsidR="00385D2E" w:rsidRPr="00C545C3" w:rsidRDefault="00385D2E" w:rsidP="00692388">
      <w:r w:rsidRPr="00C545C3">
        <w:t xml:space="preserve">Les prix sont fermes pour la première année d'exécution du marché. </w:t>
      </w:r>
    </w:p>
    <w:p w14:paraId="0CD9CE2F" w14:textId="7F33E0EE" w:rsidR="00385D2E" w:rsidRPr="00C545C3" w:rsidRDefault="00385D2E" w:rsidP="00692388">
      <w:r w:rsidRPr="00C545C3">
        <w:t>À compter de la deuxième année, ils seront révisés annuellement à la date anniversaire du marché, selon la formule suivante :</w:t>
      </w:r>
    </w:p>
    <w:p w14:paraId="1AC7AAE2" w14:textId="283068F7" w:rsidR="00385D2E" w:rsidRPr="00C545C3" w:rsidRDefault="00385D2E" w:rsidP="00692388">
      <w:r w:rsidRPr="00C545C3">
        <w:t>P =</w:t>
      </w:r>
      <w:r w:rsidR="00AF4F1A">
        <w:t xml:space="preserve"> (30+ 70 x </w:t>
      </w:r>
      <w:r w:rsidRPr="00C545C3">
        <w:t>P0 x (S / S0)</w:t>
      </w:r>
      <w:r w:rsidR="00AF4F1A">
        <w:t>)/100</w:t>
      </w:r>
    </w:p>
    <w:p w14:paraId="78F3505A" w14:textId="77777777" w:rsidR="00385D2E" w:rsidRPr="00C545C3" w:rsidRDefault="00385D2E" w:rsidP="00692388">
      <w:r w:rsidRPr="00C545C3">
        <w:t>Où :</w:t>
      </w:r>
    </w:p>
    <w:p w14:paraId="295E8C00" w14:textId="77777777" w:rsidR="00385D2E" w:rsidRPr="00C545C3" w:rsidRDefault="00385D2E" w:rsidP="002B3C96">
      <w:pPr>
        <w:pStyle w:val="Paragraphedeliste"/>
        <w:numPr>
          <w:ilvl w:val="0"/>
          <w:numId w:val="11"/>
        </w:numPr>
      </w:pPr>
      <w:r w:rsidRPr="00692388">
        <w:rPr>
          <w:b/>
          <w:bCs/>
        </w:rPr>
        <w:t>P</w:t>
      </w:r>
      <w:r w:rsidRPr="00C545C3">
        <w:t xml:space="preserve"> = prix révisé applicable,</w:t>
      </w:r>
    </w:p>
    <w:p w14:paraId="2B2DA6DB" w14:textId="77777777" w:rsidR="00385D2E" w:rsidRPr="00C545C3" w:rsidRDefault="00385D2E" w:rsidP="002B3C96">
      <w:pPr>
        <w:pStyle w:val="Paragraphedeliste"/>
        <w:numPr>
          <w:ilvl w:val="0"/>
          <w:numId w:val="11"/>
        </w:numPr>
      </w:pPr>
      <w:r w:rsidRPr="00692388">
        <w:rPr>
          <w:b/>
          <w:bCs/>
        </w:rPr>
        <w:t>P0</w:t>
      </w:r>
      <w:r w:rsidRPr="00C545C3">
        <w:t xml:space="preserve"> = prix initial du marché,</w:t>
      </w:r>
    </w:p>
    <w:p w14:paraId="1166E4A5" w14:textId="77777777" w:rsidR="00385D2E" w:rsidRPr="00C545C3" w:rsidRDefault="00385D2E" w:rsidP="002B3C96">
      <w:pPr>
        <w:pStyle w:val="Paragraphedeliste"/>
        <w:numPr>
          <w:ilvl w:val="0"/>
          <w:numId w:val="11"/>
        </w:numPr>
      </w:pPr>
      <w:r w:rsidRPr="00692388">
        <w:rPr>
          <w:b/>
          <w:bCs/>
        </w:rPr>
        <w:t>S</w:t>
      </w:r>
      <w:r w:rsidRPr="00C545C3">
        <w:t xml:space="preserve"> = dernier indice SYNTEC publié à la date de révision,</w:t>
      </w:r>
    </w:p>
    <w:p w14:paraId="335E538D" w14:textId="77777777" w:rsidR="00385D2E" w:rsidRPr="00C545C3" w:rsidRDefault="00385D2E" w:rsidP="002B3C96">
      <w:pPr>
        <w:pStyle w:val="Paragraphedeliste"/>
        <w:numPr>
          <w:ilvl w:val="0"/>
          <w:numId w:val="11"/>
        </w:numPr>
      </w:pPr>
      <w:r w:rsidRPr="00692388">
        <w:rPr>
          <w:b/>
          <w:bCs/>
        </w:rPr>
        <w:t>S0</w:t>
      </w:r>
      <w:r w:rsidRPr="00C545C3">
        <w:t xml:space="preserve"> = indice SYNTEC publié au mois de référence de la remise de l'offre.</w:t>
      </w:r>
    </w:p>
    <w:p w14:paraId="44B8183F" w14:textId="77777777" w:rsidR="00385D2E" w:rsidRPr="00C545C3" w:rsidRDefault="00385D2E" w:rsidP="00692388">
      <w:r w:rsidRPr="00C545C3">
        <w:t>En cas de disparition ou d’évolution de l’indice SYNTEC, un indice équivalent publié par l’INSEE ou un organisme reconnu pourra être retenu d’un commun accord entre les parties.</w:t>
      </w:r>
    </w:p>
    <w:p w14:paraId="43AAB412" w14:textId="69FF7CA1" w:rsidR="0061446C" w:rsidRDefault="00385D2E" w:rsidP="00692388">
      <w:r w:rsidRPr="00C545C3">
        <w:t>Ce calcul permet de garantir une adaptation des prix en fonction de l’évolution des coûts de la profession, tout en assurant une transparence sur le mode de calcul.</w:t>
      </w:r>
    </w:p>
    <w:p w14:paraId="40A3A7E3" w14:textId="64198436" w:rsidR="00A070F6" w:rsidRDefault="00A070F6" w:rsidP="000F2D1F">
      <w:pPr>
        <w:pStyle w:val="Titre1"/>
      </w:pPr>
      <w:bookmarkStart w:id="70" w:name="_Toc161406945"/>
      <w:bookmarkStart w:id="71" w:name="_Toc195214500"/>
      <w:bookmarkStart w:id="72" w:name="_Toc195214540"/>
      <w:bookmarkStart w:id="73" w:name="_Toc196214559"/>
      <w:r>
        <w:t xml:space="preserve">MODE DE </w:t>
      </w:r>
      <w:r w:rsidRPr="00A070F6">
        <w:t>F</w:t>
      </w:r>
      <w:bookmarkEnd w:id="70"/>
      <w:r>
        <w:t>ACTURATION</w:t>
      </w:r>
      <w:bookmarkEnd w:id="71"/>
      <w:bookmarkEnd w:id="72"/>
      <w:bookmarkEnd w:id="73"/>
    </w:p>
    <w:p w14:paraId="5CDF1516" w14:textId="468C2F1E" w:rsidR="00A070F6" w:rsidRDefault="004657BA" w:rsidP="00692388">
      <w:r>
        <w:t>Cet article est négociable.</w:t>
      </w:r>
    </w:p>
    <w:p w14:paraId="616C796B" w14:textId="37EDA820" w:rsidR="00A070F6" w:rsidRPr="00A070F6" w:rsidRDefault="00E35425" w:rsidP="000F2D1F">
      <w:pPr>
        <w:pStyle w:val="Titre2"/>
      </w:pPr>
      <w:bookmarkStart w:id="74" w:name="_Toc195214501"/>
      <w:bookmarkStart w:id="75" w:name="_Toc195214541"/>
      <w:bookmarkStart w:id="76" w:name="_Toc196214560"/>
      <w:r>
        <w:t>Termes de paiement</w:t>
      </w:r>
      <w:bookmarkEnd w:id="74"/>
      <w:bookmarkEnd w:id="75"/>
      <w:bookmarkEnd w:id="76"/>
      <w:r>
        <w:t xml:space="preserve"> </w:t>
      </w:r>
    </w:p>
    <w:p w14:paraId="18B230C5" w14:textId="03C64E6D" w:rsidR="0026464C" w:rsidRPr="0097264B" w:rsidRDefault="0026464C" w:rsidP="00692388">
      <w:pPr>
        <w:rPr>
          <w:b/>
          <w:bCs/>
        </w:rPr>
      </w:pPr>
      <w:r w:rsidRPr="0097264B">
        <w:t xml:space="preserve">Les factures sont établies </w:t>
      </w:r>
      <w:r w:rsidR="00C545C3" w:rsidRPr="0097264B">
        <w:t>à chaque campagne.</w:t>
      </w:r>
    </w:p>
    <w:p w14:paraId="20A86F24" w14:textId="77777777" w:rsidR="00A070F6" w:rsidRDefault="00A070F6" w:rsidP="000F2D1F">
      <w:pPr>
        <w:pStyle w:val="Titre2"/>
      </w:pPr>
      <w:bookmarkStart w:id="77" w:name="_Toc195214502"/>
      <w:bookmarkStart w:id="78" w:name="_Toc195214542"/>
      <w:bookmarkStart w:id="79" w:name="_Toc196214561"/>
      <w:r w:rsidRPr="0026464C">
        <w:t>Modalités de paiement</w:t>
      </w:r>
      <w:bookmarkEnd w:id="77"/>
      <w:bookmarkEnd w:id="78"/>
      <w:bookmarkEnd w:id="79"/>
      <w:r w:rsidRPr="0026464C">
        <w:t xml:space="preserve"> </w:t>
      </w:r>
    </w:p>
    <w:p w14:paraId="78BC6F26" w14:textId="725B8ED2" w:rsidR="00A070F6" w:rsidRPr="00BD48F4" w:rsidRDefault="00A070F6" w:rsidP="00692388">
      <w:r w:rsidRPr="00BD48F4">
        <w:lastRenderedPageBreak/>
        <w:t xml:space="preserve">La facture </w:t>
      </w:r>
      <w:r w:rsidR="00FD6FEB">
        <w:t>(</w:t>
      </w:r>
      <w:r w:rsidRPr="00BD48F4">
        <w:t>ou son équivalent</w:t>
      </w:r>
      <w:r w:rsidR="00FD6FEB">
        <w:t xml:space="preserve">) </w:t>
      </w:r>
      <w:r w:rsidRPr="00BD48F4">
        <w:t>sera établi</w:t>
      </w:r>
      <w:r w:rsidR="00864DD6">
        <w:t>e</w:t>
      </w:r>
      <w:r w:rsidRPr="00BD48F4">
        <w:t xml:space="preserve"> en un original et 2 copies portant, outre les mentions légales, les annotations suivantes : </w:t>
      </w:r>
    </w:p>
    <w:p w14:paraId="7000F20C" w14:textId="77777777" w:rsidR="00A070F6" w:rsidRPr="00BD48F4" w:rsidRDefault="00A070F6" w:rsidP="002B3C96">
      <w:pPr>
        <w:pStyle w:val="Paragraphedeliste"/>
        <w:numPr>
          <w:ilvl w:val="0"/>
          <w:numId w:val="9"/>
        </w:numPr>
      </w:pPr>
      <w:r w:rsidRPr="00BD48F4">
        <w:t xml:space="preserve">Nom et adresse du créancier, </w:t>
      </w:r>
    </w:p>
    <w:p w14:paraId="6F52B044" w14:textId="77777777" w:rsidR="00A070F6" w:rsidRPr="00BD48F4" w:rsidRDefault="00A070F6" w:rsidP="002B3C96">
      <w:pPr>
        <w:pStyle w:val="Paragraphedeliste"/>
        <w:numPr>
          <w:ilvl w:val="0"/>
          <w:numId w:val="9"/>
        </w:numPr>
      </w:pPr>
      <w:r w:rsidRPr="00BD48F4">
        <w:t xml:space="preserve">Numéro de compte bancaire ou postal, </w:t>
      </w:r>
    </w:p>
    <w:p w14:paraId="52410EEC" w14:textId="45504D85" w:rsidR="00A070F6" w:rsidRPr="00BD48F4" w:rsidRDefault="00E35425" w:rsidP="002B3C96">
      <w:pPr>
        <w:pStyle w:val="Paragraphedeliste"/>
        <w:numPr>
          <w:ilvl w:val="0"/>
          <w:numId w:val="9"/>
        </w:numPr>
      </w:pPr>
      <w:r>
        <w:t>Date</w:t>
      </w:r>
      <w:r w:rsidR="00A070F6" w:rsidRPr="00BD48F4">
        <w:t xml:space="preserve"> de la </w:t>
      </w:r>
      <w:r>
        <w:t>prestation</w:t>
      </w:r>
      <w:r w:rsidR="00A070F6" w:rsidRPr="00BD48F4">
        <w:t xml:space="preserve">, </w:t>
      </w:r>
    </w:p>
    <w:p w14:paraId="24E65511" w14:textId="77777777" w:rsidR="00A070F6" w:rsidRPr="00BD48F4" w:rsidRDefault="00A070F6" w:rsidP="002B3C96">
      <w:pPr>
        <w:pStyle w:val="Paragraphedeliste"/>
        <w:numPr>
          <w:ilvl w:val="0"/>
          <w:numId w:val="9"/>
        </w:numPr>
      </w:pPr>
      <w:r w:rsidRPr="00BD48F4">
        <w:t>Le numéro de bon de commande associé,</w:t>
      </w:r>
    </w:p>
    <w:p w14:paraId="0097AB9C" w14:textId="2DCA1D2B" w:rsidR="009B689D" w:rsidRPr="00BD48F4" w:rsidRDefault="00A070F6" w:rsidP="002B3C96">
      <w:pPr>
        <w:pStyle w:val="Paragraphedeliste"/>
        <w:numPr>
          <w:ilvl w:val="0"/>
          <w:numId w:val="9"/>
        </w:numPr>
      </w:pPr>
      <w:r w:rsidRPr="00BD48F4">
        <w:t xml:space="preserve">Montant </w:t>
      </w:r>
      <w:r w:rsidR="00E35425" w:rsidRPr="00BD48F4">
        <w:t>HT</w:t>
      </w:r>
      <w:r w:rsidRPr="00BD48F4">
        <w:t xml:space="preserve"> de la prestation réalisée</w:t>
      </w:r>
    </w:p>
    <w:p w14:paraId="4443E99C" w14:textId="77777777" w:rsidR="00A070F6" w:rsidRPr="00BD48F4" w:rsidRDefault="00A070F6" w:rsidP="00692388">
      <w:r w:rsidRPr="00BD48F4">
        <w:t>Elle est accompagnée de l’attestation des services faits, signée par le pouvoir adjudicateur dans les conditions mentionnées plus haut. Elle est éventuellement également accompagnée des avoirs mentionnés au CCTP. En l’absence de ces documents, la facture est systématiquement retournée au titulaire, sans que celui-ci ne puisse se prévaloir de toute indemnité de retard liée au paiement retardé. La date de la nouvelle facture est modifiée.</w:t>
      </w:r>
    </w:p>
    <w:p w14:paraId="196473DA" w14:textId="40BE4FEC" w:rsidR="00A070F6" w:rsidRPr="00BD48F4" w:rsidRDefault="00A070F6" w:rsidP="00692388">
      <w:r w:rsidRPr="00BD48F4">
        <w:t xml:space="preserve">L’ensemble de ces documents (factures, attestation de service fait, avoir) </w:t>
      </w:r>
      <w:r w:rsidR="00D557F2" w:rsidRPr="002B3C96">
        <w:rPr>
          <w:color w:val="C00000"/>
        </w:rPr>
        <w:t>sur la plate-forme CHORUS PORTAIL PRO. L’utilisation de de portail est obligatoire pour toutes les factures adressées à une personne publique depuis le 1</w:t>
      </w:r>
      <w:r w:rsidR="00D557F2" w:rsidRPr="002B3C96">
        <w:rPr>
          <w:color w:val="C00000"/>
          <w:vertAlign w:val="superscript"/>
        </w:rPr>
        <w:t>er</w:t>
      </w:r>
      <w:r w:rsidR="00D557F2" w:rsidRPr="002B3C96">
        <w:rPr>
          <w:color w:val="C00000"/>
        </w:rPr>
        <w:t xml:space="preserve"> janvier 2017</w:t>
      </w:r>
      <w:r w:rsidRPr="00BD48F4">
        <w:t>Les factures doivent parvenir dans les 15 jours qui suivent le mois d’exécution de la prestation</w:t>
      </w:r>
      <w:r w:rsidR="00E35425">
        <w:t>.</w:t>
      </w:r>
    </w:p>
    <w:p w14:paraId="5269E342" w14:textId="321CE161" w:rsidR="002D7ACA" w:rsidRDefault="00C43A21" w:rsidP="00692388">
      <w:pPr>
        <w:pStyle w:val="Titre1"/>
        <w:rPr>
          <w:lang w:eastAsia="fr-FR"/>
        </w:rPr>
      </w:pPr>
      <w:bookmarkStart w:id="80" w:name="_Toc195214503"/>
      <w:bookmarkStart w:id="81" w:name="_Toc195214543"/>
      <w:bookmarkStart w:id="82" w:name="_Toc196214562"/>
      <w:bookmarkEnd w:id="1"/>
      <w:r>
        <w:rPr>
          <w:lang w:eastAsia="fr-FR"/>
        </w:rPr>
        <w:t>PENALITES</w:t>
      </w:r>
      <w:bookmarkEnd w:id="80"/>
      <w:bookmarkEnd w:id="81"/>
      <w:bookmarkEnd w:id="82"/>
      <w:r>
        <w:rPr>
          <w:lang w:eastAsia="fr-FR"/>
        </w:rPr>
        <w:t xml:space="preserve"> </w:t>
      </w:r>
    </w:p>
    <w:p w14:paraId="27DD65F8" w14:textId="003E9774" w:rsidR="00D52388" w:rsidRDefault="00C43A21" w:rsidP="00692388">
      <w:r w:rsidRPr="00BD48F4">
        <w:t xml:space="preserve">Par dérogation à l’article </w:t>
      </w:r>
      <w:r>
        <w:t>correspondant</w:t>
      </w:r>
      <w:r w:rsidRPr="00BD48F4">
        <w:t xml:space="preserve"> du CCAG </w:t>
      </w:r>
      <w:r>
        <w:t>PI</w:t>
      </w:r>
      <w:r w:rsidRPr="00BD48F4">
        <w:t>,</w:t>
      </w:r>
      <w:r w:rsidR="00543129" w:rsidRPr="00543129">
        <w:t xml:space="preserve"> </w:t>
      </w:r>
      <w:r w:rsidR="00543129">
        <w:t>en</w:t>
      </w:r>
      <w:r w:rsidR="00543129" w:rsidRPr="00543129">
        <w:t xml:space="preserve"> cas de manquement du titulaire aux exigences définies dans le cadre de la mission de certification, les pénalités suivantes seront appliquées :</w:t>
      </w:r>
    </w:p>
    <w:p w14:paraId="7B052092" w14:textId="2507016F" w:rsidR="009F0371" w:rsidRDefault="00397B13" w:rsidP="00692388">
      <w:pPr>
        <w:pStyle w:val="Titre3"/>
      </w:pPr>
      <w:bookmarkStart w:id="83" w:name="_Toc195214504"/>
      <w:bookmarkStart w:id="84" w:name="_Toc195214544"/>
      <w:bookmarkStart w:id="85" w:name="_Toc196214563"/>
      <w:r w:rsidRPr="00397B13">
        <w:t>Réactivité et mobilisation rapide des équipes</w:t>
      </w:r>
      <w:r w:rsidR="009F0371">
        <w:t> :</w:t>
      </w:r>
      <w:bookmarkEnd w:id="83"/>
      <w:bookmarkEnd w:id="84"/>
      <w:bookmarkEnd w:id="85"/>
    </w:p>
    <w:p w14:paraId="4CF7E655" w14:textId="7D91A71A" w:rsidR="00397B13" w:rsidRPr="00397B13" w:rsidRDefault="00397B13" w:rsidP="00692388">
      <w:r w:rsidRPr="00397B13">
        <w:t xml:space="preserve">Si le titulaire n’est pas en mesure de mobiliser les équipes requises dans un délai de </w:t>
      </w:r>
      <w:r w:rsidR="0053720D">
        <w:t xml:space="preserve">8 jours </w:t>
      </w:r>
      <w:r w:rsidRPr="00397B13">
        <w:t xml:space="preserve">après notification par le maître d’ouvrage, une pénalité de </w:t>
      </w:r>
      <w:r w:rsidRPr="00692388">
        <w:t>300 euros par jour de retard</w:t>
      </w:r>
      <w:r w:rsidRPr="00397B13">
        <w:t xml:space="preserve"> sera appliquée jusqu'à la mise en place effective des équipes.</w:t>
      </w:r>
    </w:p>
    <w:p w14:paraId="6C835C94" w14:textId="163838A0" w:rsidR="00397B13" w:rsidRPr="00397B13" w:rsidRDefault="00397B13" w:rsidP="00692388">
      <w:pPr>
        <w:pStyle w:val="Titre3"/>
      </w:pPr>
      <w:bookmarkStart w:id="86" w:name="_Toc195214505"/>
      <w:bookmarkStart w:id="87" w:name="_Toc195214545"/>
      <w:bookmarkStart w:id="88" w:name="_Toc196214564"/>
      <w:r w:rsidRPr="00397B13">
        <w:t>Disponibilité et gestion des intervenants sur site</w:t>
      </w:r>
      <w:r w:rsidR="009F0371">
        <w:t> :</w:t>
      </w:r>
      <w:bookmarkEnd w:id="86"/>
      <w:bookmarkEnd w:id="87"/>
      <w:bookmarkEnd w:id="88"/>
      <w:r w:rsidR="009F0371">
        <w:t xml:space="preserve"> </w:t>
      </w:r>
    </w:p>
    <w:p w14:paraId="6A49461C" w14:textId="77777777" w:rsidR="00397B13" w:rsidRPr="00397B13" w:rsidRDefault="00397B13" w:rsidP="00692388">
      <w:r w:rsidRPr="00397B13">
        <w:t xml:space="preserve">En cas d'absence injustifiée d'un ou plusieurs intervenants, ou d'une gestion inappropriée des équipes sur site, une pénalité de </w:t>
      </w:r>
      <w:r w:rsidRPr="00692388">
        <w:t>200 euros par jour et par intervenant manquant</w:t>
      </w:r>
      <w:r w:rsidRPr="00397B13">
        <w:t xml:space="preserve"> sera appliquée.</w:t>
      </w:r>
      <w:r w:rsidRPr="00397B13">
        <w:br/>
        <w:t>Si cette absence entraîne un retard dans la réalisation de la mission, les pénalités pour retard mentionnées ci-dessous seront également appliquées.</w:t>
      </w:r>
    </w:p>
    <w:p w14:paraId="5CB09515" w14:textId="3D712679" w:rsidR="00397B13" w:rsidRPr="00397B13" w:rsidRDefault="00397B13" w:rsidP="00692388">
      <w:pPr>
        <w:pStyle w:val="Titre3"/>
      </w:pPr>
      <w:bookmarkStart w:id="89" w:name="_Toc195214506"/>
      <w:bookmarkStart w:id="90" w:name="_Toc195214546"/>
      <w:bookmarkStart w:id="91" w:name="_Toc196214565"/>
      <w:r w:rsidRPr="00397B13">
        <w:t>Structuration de la mission</w:t>
      </w:r>
      <w:r w:rsidR="009F0371">
        <w:t> :</w:t>
      </w:r>
      <w:bookmarkEnd w:id="89"/>
      <w:bookmarkEnd w:id="90"/>
      <w:bookmarkEnd w:id="91"/>
    </w:p>
    <w:p w14:paraId="067EF0E8" w14:textId="7AEED585" w:rsidR="00397B13" w:rsidRPr="00397B13" w:rsidRDefault="00397B13" w:rsidP="00692388">
      <w:r w:rsidRPr="00397B13">
        <w:t xml:space="preserve">Si le titulaire ne respecte pas la structuration de la mission telle que définie dans les documents contractuels (plan de mission, étapes à respecter), une pénalité forfaitaire de </w:t>
      </w:r>
      <w:r w:rsidRPr="00692388">
        <w:t>500 euros par manquement constaté</w:t>
      </w:r>
      <w:r w:rsidRPr="00397B13">
        <w:t xml:space="preserve"> sera appliquée</w:t>
      </w:r>
    </w:p>
    <w:p w14:paraId="22204E3B" w14:textId="7832756B" w:rsidR="00397B13" w:rsidRPr="00397B13" w:rsidRDefault="00397B13" w:rsidP="00692388">
      <w:pPr>
        <w:pStyle w:val="Titre3"/>
      </w:pPr>
      <w:bookmarkStart w:id="92" w:name="_Toc195214507"/>
      <w:bookmarkStart w:id="93" w:name="_Toc195214547"/>
      <w:bookmarkStart w:id="94" w:name="_Toc196214566"/>
      <w:r w:rsidRPr="00397B13">
        <w:t xml:space="preserve">Respect des promesses (livrables et </w:t>
      </w:r>
      <w:proofErr w:type="spellStart"/>
      <w:r w:rsidRPr="00397B13">
        <w:t>reporting</w:t>
      </w:r>
      <w:proofErr w:type="spellEnd"/>
      <w:r w:rsidRPr="00397B13">
        <w:t>)</w:t>
      </w:r>
      <w:r w:rsidR="009F0371">
        <w:t> :</w:t>
      </w:r>
      <w:bookmarkEnd w:id="92"/>
      <w:bookmarkEnd w:id="93"/>
      <w:bookmarkEnd w:id="94"/>
    </w:p>
    <w:p w14:paraId="6DDDA94E" w14:textId="1670AC56" w:rsidR="00692388" w:rsidRDefault="00397B13" w:rsidP="00692388">
      <w:r w:rsidRPr="00397B13">
        <w:t xml:space="preserve">En cas de retard dans la production des livrables (rapports, audits, comptes rendus) ou de non-conformité avec le planning de </w:t>
      </w:r>
      <w:proofErr w:type="spellStart"/>
      <w:r w:rsidRPr="00397B13">
        <w:t>reporting</w:t>
      </w:r>
      <w:proofErr w:type="spellEnd"/>
      <w:r w:rsidRPr="00397B13">
        <w:t>, une</w:t>
      </w:r>
      <w:r w:rsidR="005772C7">
        <w:t xml:space="preserve"> pénalité de 100 euros </w:t>
      </w:r>
      <w:r w:rsidRPr="00692388">
        <w:t>par jour de retard</w:t>
      </w:r>
      <w:r w:rsidRPr="00397B13">
        <w:t xml:space="preserve"> sera appliquée pour chaque livrable manquant ou non conforme.</w:t>
      </w:r>
    </w:p>
    <w:p w14:paraId="03CED626" w14:textId="6BB4FE02" w:rsidR="00397B13" w:rsidRPr="00D52388" w:rsidRDefault="00692388" w:rsidP="00692388">
      <w:pPr>
        <w:pStyle w:val="Titre3"/>
      </w:pPr>
      <w:bookmarkStart w:id="95" w:name="_Toc195214508"/>
      <w:bookmarkStart w:id="96" w:name="_Toc195214548"/>
      <w:bookmarkStart w:id="97" w:name="_Toc196214567"/>
      <w:r>
        <w:t>P</w:t>
      </w:r>
      <w:r w:rsidR="00397B13" w:rsidRPr="00D52388">
        <w:t>énalités pour interruption ou abandon de mission :</w:t>
      </w:r>
      <w:bookmarkEnd w:id="95"/>
      <w:bookmarkEnd w:id="96"/>
      <w:bookmarkEnd w:id="97"/>
    </w:p>
    <w:p w14:paraId="33B6F507" w14:textId="120B12FF" w:rsidR="00397B13" w:rsidRPr="00844007" w:rsidRDefault="00397B13" w:rsidP="00692388">
      <w:r w:rsidRPr="00D52388">
        <w:t xml:space="preserve">En cas d’abandon de la mission ou d’interruption des travaux sans motif légitime, le titulaire encourt une pénalité de </w:t>
      </w:r>
      <w:r w:rsidRPr="00844007">
        <w:t>10 % du montant du marché public</w:t>
      </w:r>
      <w:r w:rsidR="009F0371" w:rsidRPr="00844007">
        <w:t>.</w:t>
      </w:r>
    </w:p>
    <w:p w14:paraId="19FF06CD" w14:textId="593F26E4" w:rsidR="00397B13" w:rsidRPr="009F0371" w:rsidRDefault="00397B13" w:rsidP="00692388">
      <w:r w:rsidRPr="00397B13">
        <w:t>Les pénalités prévues au présent article sont cumulatives et s'appliquent sans préjudice de l'indemnisation complémentaire pour tout préjudice subi par l'acheteur.</w:t>
      </w:r>
      <w:r>
        <w:t xml:space="preserve"> </w:t>
      </w:r>
      <w:r w:rsidRPr="00397B13">
        <w:t xml:space="preserve">En cas de manquement répété </w:t>
      </w:r>
      <w:r w:rsidRPr="00397B13">
        <w:lastRenderedPageBreak/>
        <w:t>ou grave aux obligations contractuelles, le maître d’ouvrage se réserve le droit de prononcer la résiliation du marché aux torts exclusifs du titulaire.</w:t>
      </w:r>
    </w:p>
    <w:p w14:paraId="01EB7D56" w14:textId="1FF50206" w:rsidR="00B51833" w:rsidRDefault="00397B13" w:rsidP="00692388">
      <w:r w:rsidRPr="00397B13">
        <w:t xml:space="preserve">Les pénalités feront l'objet d'une notification écrite au titulaire, avec mention des faits reprochés et des montants appliqués. Le titulaire disposera d'un délai de </w:t>
      </w:r>
      <w:r w:rsidRPr="00692388">
        <w:t>10 jours ouvrés</w:t>
      </w:r>
      <w:r w:rsidRPr="00397B13">
        <w:t xml:space="preserve"> pour présenter ses observations ou contester les faits invoqués.</w:t>
      </w:r>
      <w:r>
        <w:t xml:space="preserve"> </w:t>
      </w:r>
      <w:r w:rsidRPr="00397B13">
        <w:t>Les pénalités seront automatiquement appliquées après expiration de ce délai, en l'absence de contestation recevable, et seront déduites des sommes dues au titulaire.</w:t>
      </w:r>
      <w:r w:rsidR="00B51833">
        <w:t xml:space="preserve"> </w:t>
      </w:r>
    </w:p>
    <w:p w14:paraId="267D4AED" w14:textId="34FA0913" w:rsidR="00805097" w:rsidRDefault="00B51833" w:rsidP="00692388">
      <w:pPr>
        <w:pStyle w:val="Titre3"/>
      </w:pPr>
      <w:bookmarkStart w:id="98" w:name="_Toc195214509"/>
      <w:bookmarkStart w:id="99" w:name="_Toc195214549"/>
      <w:bookmarkStart w:id="100" w:name="_Toc196214568"/>
      <w:r w:rsidRPr="00B51833">
        <w:t>Pénalité pour non-respect de l’AAE et du mémoire technique</w:t>
      </w:r>
      <w:r>
        <w:t> :</w:t>
      </w:r>
      <w:bookmarkEnd w:id="98"/>
      <w:bookmarkEnd w:id="99"/>
      <w:bookmarkEnd w:id="100"/>
    </w:p>
    <w:p w14:paraId="2FB02B7C" w14:textId="7ECA9DDF" w:rsidR="00805097" w:rsidRDefault="00805097" w:rsidP="00692388">
      <w:r w:rsidRPr="00805097">
        <w:t xml:space="preserve">En cas de non-respect des engagements précisés dans l’annexe à l’acte d’engagement et le mémoire technique validé lors de l’attribution du marché, le titulaire encourt une pénalité forfaitaire de </w:t>
      </w:r>
      <w:r w:rsidR="00B51833" w:rsidRPr="00692388">
        <w:t>200</w:t>
      </w:r>
      <w:r w:rsidRPr="00692388">
        <w:t xml:space="preserve"> euros</w:t>
      </w:r>
      <w:r w:rsidRPr="00805097">
        <w:t xml:space="preserve"> par jour calendaire de non-conformité, à compter de la notification de la mise en demeure par le </w:t>
      </w:r>
      <w:r w:rsidR="00D67774">
        <w:t xml:space="preserve">Client </w:t>
      </w:r>
      <w:r w:rsidRPr="00805097">
        <w:t>jusqu’à la mise en conformité effective des prestations.</w:t>
      </w:r>
    </w:p>
    <w:p w14:paraId="1BEC93DF" w14:textId="24622875" w:rsidR="00E14BE0" w:rsidRPr="002C2146" w:rsidRDefault="002C2146" w:rsidP="002C2146">
      <w:pPr>
        <w:pStyle w:val="Titre1"/>
      </w:pPr>
      <w:bookmarkStart w:id="101" w:name="_Toc195214510"/>
      <w:bookmarkStart w:id="102" w:name="_Toc195214550"/>
      <w:bookmarkStart w:id="103" w:name="_Toc196214569"/>
      <w:r w:rsidRPr="002C2146">
        <w:t>NON-SUBSTITUTION DU PERSONNEL</w:t>
      </w:r>
      <w:bookmarkEnd w:id="101"/>
      <w:bookmarkEnd w:id="102"/>
      <w:bookmarkEnd w:id="103"/>
    </w:p>
    <w:p w14:paraId="5DF19898" w14:textId="0FC91C48" w:rsidR="00E14BE0" w:rsidRPr="00E14BE0" w:rsidRDefault="00E14BE0" w:rsidP="00692388">
      <w:r w:rsidRPr="00E14BE0">
        <w:t>Le titulaire s'engage à affecter à l'exécution du présent marché les membres de son personnel nommément désignés dans son offre. Toute modification de cette équipe, notamment le remplacement d'un ou plusieurs membres, ne peut intervenir sans l'accord préalable et écrit de l'acheteur.</w:t>
      </w:r>
    </w:p>
    <w:p w14:paraId="1877DD1B" w14:textId="314EAD28" w:rsidR="00E14BE0" w:rsidRPr="00E14BE0" w:rsidRDefault="00E14BE0" w:rsidP="00692388">
      <w:r w:rsidRPr="00E14BE0">
        <w:t>En cas de nécessité avérée de remplacement, le titulaire doit :</w:t>
      </w:r>
    </w:p>
    <w:p w14:paraId="496A1F23" w14:textId="44C5D54B" w:rsidR="00E14BE0" w:rsidRPr="00E14BE0" w:rsidRDefault="00E14BE0" w:rsidP="002B3C96">
      <w:pPr>
        <w:pStyle w:val="Paragraphedeliste"/>
        <w:numPr>
          <w:ilvl w:val="0"/>
          <w:numId w:val="10"/>
        </w:numPr>
      </w:pPr>
      <w:r w:rsidRPr="00E14BE0">
        <w:t>Informer l'acheteur par écrit dans les plus brefs délais, en précisant les motifs du remplacement envisagé.</w:t>
      </w:r>
    </w:p>
    <w:p w14:paraId="073962C0" w14:textId="36A0B4F4" w:rsidR="00E14BE0" w:rsidRPr="00E14BE0" w:rsidRDefault="00E14BE0" w:rsidP="002B3C96">
      <w:pPr>
        <w:pStyle w:val="Paragraphedeliste"/>
        <w:numPr>
          <w:ilvl w:val="0"/>
          <w:numId w:val="10"/>
        </w:numPr>
      </w:pPr>
      <w:r w:rsidRPr="00E14BE0">
        <w:t>Proposer un ou plusieurs candidats possédant des qualifications et une expérience équivalente ou supérieure à celles de la personne remplacée, en fournissant les curriculums vitae détaillés.</w:t>
      </w:r>
    </w:p>
    <w:p w14:paraId="3F8E1BD8" w14:textId="6D26A333" w:rsidR="00E14BE0" w:rsidRPr="00E14BE0" w:rsidRDefault="00E14BE0" w:rsidP="00692388">
      <w:r w:rsidRPr="00E14BE0">
        <w:t xml:space="preserve">L'acheteur dispose </w:t>
      </w:r>
      <w:r w:rsidR="00543129" w:rsidRPr="00E14BE0">
        <w:t xml:space="preserve">de </w:t>
      </w:r>
      <w:r w:rsidR="00543129" w:rsidRPr="00C1439A">
        <w:rPr>
          <w:b/>
          <w:bCs/>
        </w:rPr>
        <w:t>7 jours ouvrés</w:t>
      </w:r>
      <w:r w:rsidRPr="00C1439A">
        <w:t xml:space="preserve"> </w:t>
      </w:r>
      <w:r w:rsidRPr="00E14BE0">
        <w:t>à compter de la réception de la proposition pour notifier son acceptation ou exprimer son refus motivé. À défaut de réponse dans ce délai, le remplacement est réputé accepté.</w:t>
      </w:r>
    </w:p>
    <w:p w14:paraId="76F38813" w14:textId="221E4669" w:rsidR="00C917B4" w:rsidRPr="00FB30CD" w:rsidRDefault="00E14BE0" w:rsidP="00692388">
      <w:r w:rsidRPr="00E14BE0">
        <w:t>Le non-respect de cette procédure constitue un manquement contractuel susceptible d'entraîner l'application des sanctions prévues au présent march</w:t>
      </w:r>
      <w:r w:rsidR="00FB30CD">
        <w:t xml:space="preserve">é. </w:t>
      </w:r>
    </w:p>
    <w:p w14:paraId="038B6096" w14:textId="52B3B5E5" w:rsidR="00422C5A" w:rsidRDefault="000F2D1F" w:rsidP="000F2D1F">
      <w:pPr>
        <w:pStyle w:val="Titre1"/>
      </w:pPr>
      <w:bookmarkStart w:id="104" w:name="_Toc195214511"/>
      <w:bookmarkStart w:id="105" w:name="_Toc195214551"/>
      <w:bookmarkStart w:id="106" w:name="_Toc196214570"/>
      <w:r w:rsidRPr="00422C5A">
        <w:t>AUTRES DISPOSITIONS SPÉCIFIQUES :</w:t>
      </w:r>
      <w:bookmarkEnd w:id="104"/>
      <w:bookmarkEnd w:id="105"/>
      <w:bookmarkEnd w:id="106"/>
    </w:p>
    <w:p w14:paraId="15051E4E" w14:textId="77777777" w:rsidR="00422C5A" w:rsidRPr="00422C5A" w:rsidRDefault="00422C5A" w:rsidP="00692388">
      <w:r w:rsidRPr="00422C5A">
        <w:t>Les éventuelles interventions exceptionnelles demandées par l’acheteur, non prévues dans le cadre du marché, pourront faire l’objet d’une facturation complémentaire sous réserve d’un accord préalable écrit.</w:t>
      </w:r>
    </w:p>
    <w:p w14:paraId="1792012B" w14:textId="3E1AC8C2" w:rsidR="00422C5A" w:rsidRDefault="00422C5A" w:rsidP="00692388">
      <w:r w:rsidRPr="00422C5A">
        <w:t>Toutes les autres dispositions du CCAG relatives aux prix et aux paiements qui ne sont pas expressément modifiées par le présent article restent applicables.</w:t>
      </w:r>
    </w:p>
    <w:p w14:paraId="19EF69E2" w14:textId="26A16AA1" w:rsidR="0027164C" w:rsidRPr="007D52FC" w:rsidRDefault="002C2146" w:rsidP="00692388">
      <w:pPr>
        <w:pStyle w:val="Titre1"/>
      </w:pPr>
      <w:bookmarkStart w:id="107" w:name="_Toc195214512"/>
      <w:bookmarkStart w:id="108" w:name="_Toc195214552"/>
      <w:bookmarkStart w:id="109" w:name="_Toc196214571"/>
      <w:r w:rsidRPr="007D52FC">
        <w:t>PROPRIÉTÉ INTELLECTUELLE</w:t>
      </w:r>
      <w:bookmarkEnd w:id="107"/>
      <w:bookmarkEnd w:id="108"/>
      <w:bookmarkEnd w:id="109"/>
      <w:r w:rsidRPr="007D52FC">
        <w:t xml:space="preserve"> </w:t>
      </w:r>
    </w:p>
    <w:p w14:paraId="10BDB36F" w14:textId="77777777" w:rsidR="0027164C" w:rsidRPr="0027164C" w:rsidRDefault="0027164C" w:rsidP="00692388">
      <w:r w:rsidRPr="0027164C">
        <w:t>Par dérogation aux dispositions de l'article 32 du CCAG-PI, les parties conviennent des stipulations suivantes concernant les droits de propriété intellectuelle relatifs aux résultats issus de l'exécution du présent marché :​</w:t>
      </w:r>
    </w:p>
    <w:p w14:paraId="0F72CBAC" w14:textId="77777777" w:rsidR="0027164C" w:rsidRPr="0027164C" w:rsidRDefault="0027164C" w:rsidP="00692388">
      <w:r w:rsidRPr="0027164C">
        <w:t xml:space="preserve">- </w:t>
      </w:r>
      <w:r w:rsidRPr="0027164C">
        <w:rPr>
          <w:b/>
          <w:bCs/>
        </w:rPr>
        <w:t>Cession des droits d'auteur :</w:t>
      </w:r>
      <w:r w:rsidRPr="0027164C">
        <w:t xml:space="preserve"> Le titulaire cède à l'acheteur, à titre exclusif et définitif, l'ensemble des droits patrimoniaux afférents aux rapports d'audit, certifications et autres documents produits dans le cadre du présent marché. Cette cession comprend notamment les droits de reproduction, de </w:t>
      </w:r>
      <w:r w:rsidRPr="0027164C">
        <w:lastRenderedPageBreak/>
        <w:t>représentation, d'adaptation, de traduction et de diffusion, sur tout support et par tout moyen, pour le monde entier et pour la durée légale de protection des droits d'auteur.​</w:t>
      </w:r>
    </w:p>
    <w:p w14:paraId="41FC43FA" w14:textId="77777777" w:rsidR="0027164C" w:rsidRPr="0027164C" w:rsidRDefault="0027164C" w:rsidP="00692388">
      <w:r w:rsidRPr="0027164C">
        <w:t xml:space="preserve">- </w:t>
      </w:r>
      <w:r w:rsidRPr="0027164C">
        <w:rPr>
          <w:b/>
          <w:bCs/>
        </w:rPr>
        <w:t>Garanties :</w:t>
      </w:r>
      <w:r w:rsidRPr="0027164C">
        <w:t xml:space="preserve"> Le titulaire garantit à l'acheteur la jouissance paisible des droits cédés contre tout trouble, revendication ou éviction quelconque. Il assure que les livrables sont originaux et ne portent pas atteinte aux droits de tiers.​</w:t>
      </w:r>
    </w:p>
    <w:p w14:paraId="708BED70" w14:textId="175A78D0" w:rsidR="0027164C" w:rsidRDefault="0027164C" w:rsidP="00692388">
      <w:r w:rsidRPr="0027164C">
        <w:t xml:space="preserve">- </w:t>
      </w:r>
      <w:r w:rsidRPr="0027164C">
        <w:rPr>
          <w:b/>
          <w:bCs/>
        </w:rPr>
        <w:t>Mention de la paternité :</w:t>
      </w:r>
      <w:r w:rsidRPr="0027164C">
        <w:t xml:space="preserve"> Toute utilisation des livrables par l'acheteur pourra être effectuée sans mention du nom du titulaire, sauf disposition contraire spécifiée dans le marché.</w:t>
      </w:r>
      <w:r w:rsidR="002A0663">
        <w:t xml:space="preserve"> </w:t>
      </w:r>
    </w:p>
    <w:p w14:paraId="05424559" w14:textId="77777777" w:rsidR="005211F3" w:rsidRDefault="005211F3" w:rsidP="00692388">
      <w:pPr>
        <w:pStyle w:val="Titre1"/>
      </w:pPr>
      <w:bookmarkStart w:id="110" w:name="_Toc161406961"/>
      <w:bookmarkStart w:id="111" w:name="_Toc195214513"/>
      <w:bookmarkStart w:id="112" w:name="_Toc195214553"/>
      <w:bookmarkStart w:id="113" w:name="_Toc196214572"/>
      <w:r w:rsidRPr="00BD48F4">
        <w:t>DIFFERENDS ET LITIGES</w:t>
      </w:r>
      <w:bookmarkEnd w:id="110"/>
      <w:bookmarkEnd w:id="111"/>
      <w:bookmarkEnd w:id="112"/>
      <w:bookmarkEnd w:id="113"/>
      <w:r w:rsidRPr="00BD48F4">
        <w:t xml:space="preserve"> </w:t>
      </w:r>
    </w:p>
    <w:p w14:paraId="5B185B8D" w14:textId="77777777" w:rsidR="005211F3" w:rsidRPr="00BD48F4" w:rsidRDefault="005211F3" w:rsidP="00692388">
      <w:r w:rsidRPr="00BD48F4">
        <w:t xml:space="preserve">En cas de contentieux, le tribunal compétent sera le </w:t>
      </w:r>
      <w:r w:rsidRPr="00BB0C87">
        <w:rPr>
          <w:b/>
          <w:bCs/>
        </w:rPr>
        <w:t>Tribunal administratif de Cayenne</w:t>
      </w:r>
      <w:r>
        <w:t>.</w:t>
      </w:r>
    </w:p>
    <w:p w14:paraId="22A0B931" w14:textId="77777777" w:rsidR="00E752CB" w:rsidRDefault="00E752CB" w:rsidP="00692388">
      <w:r w:rsidRPr="006972E7">
        <w:t>7, rue Schoelcher, B.P. 5030, 97305</w:t>
      </w:r>
    </w:p>
    <w:p w14:paraId="18D55F1B" w14:textId="77777777" w:rsidR="002C2146" w:rsidRDefault="00E752CB" w:rsidP="002C2146">
      <w:r w:rsidRPr="006972E7">
        <w:t>Cayenne Cedex</w:t>
      </w:r>
    </w:p>
    <w:p w14:paraId="053332C9" w14:textId="4CAE5398" w:rsidR="002C2146" w:rsidRDefault="002C2146" w:rsidP="002C2146">
      <w:r>
        <w:t>0</w:t>
      </w:r>
      <w:r w:rsidR="00E752CB" w:rsidRPr="006972E7">
        <w:t>5 94 25 49 70</w:t>
      </w:r>
    </w:p>
    <w:p w14:paraId="310AC55D" w14:textId="19845811" w:rsidR="005211F3" w:rsidRPr="00E752CB" w:rsidRDefault="00E752CB" w:rsidP="00692388">
      <w:r w:rsidRPr="006972E7">
        <w:br/>
      </w:r>
      <w:hyperlink r:id="rId8" w:history="1">
        <w:r w:rsidRPr="006972E7">
          <w:t>greffe.ta-cayenne@juradm.fr</w:t>
        </w:r>
      </w:hyperlink>
    </w:p>
    <w:p w14:paraId="08FD33C9" w14:textId="16D3D552" w:rsidR="00791AA5" w:rsidRPr="007D52FC" w:rsidRDefault="002C2146" w:rsidP="00692388">
      <w:pPr>
        <w:pStyle w:val="Titre1"/>
      </w:pPr>
      <w:bookmarkStart w:id="114" w:name="_Toc195214514"/>
      <w:bookmarkStart w:id="115" w:name="_Toc195214554"/>
      <w:bookmarkStart w:id="116" w:name="_Toc196214573"/>
      <w:r w:rsidRPr="007D52FC">
        <w:t>DÉROGATIONS AU CCAG</w:t>
      </w:r>
      <w:bookmarkEnd w:id="114"/>
      <w:bookmarkEnd w:id="115"/>
      <w:bookmarkEnd w:id="116"/>
    </w:p>
    <w:p w14:paraId="4B429680" w14:textId="77777777" w:rsidR="00A86924" w:rsidRPr="00A86924" w:rsidRDefault="00A86924" w:rsidP="00692388">
      <w:r w:rsidRPr="00A86924">
        <w:t>Par dérogation aux dispositions du Cahier des Clauses Administratives Générales (CCAG), certaines clauses du présent marché ont été adaptées afin de répondre aux spécificités des prestations attendues. Ces dérogations visent à garantir la cohérence contractuelle et l’adéquation aux particularités du marché.</w:t>
      </w:r>
    </w:p>
    <w:p w14:paraId="5F3D9CEF" w14:textId="77777777" w:rsidR="00A86924" w:rsidRDefault="00A86924" w:rsidP="00692388">
      <w:r w:rsidRPr="00A86924">
        <w:t>Ces dérogations, dûment justifiées, prévalent sur les clauses du CCAG dans la mesure où elles sont expressément mentionnées dans le présent Cahier des Clauses Administratives Particulières (CCAP).</w:t>
      </w:r>
      <w:r w:rsidRPr="00A86924">
        <w:br/>
        <w:t>En l'absence de mention spécifique ou de dérogation dans le tableau, les dispositions du CCAG restent pleinement applicables.</w:t>
      </w:r>
    </w:p>
    <w:p w14:paraId="2B2AE3AB" w14:textId="01681E73" w:rsidR="00C917B4" w:rsidRDefault="00C917B4" w:rsidP="00692388">
      <w:r w:rsidRPr="00422C5A">
        <w:t xml:space="preserve">L’article </w:t>
      </w:r>
      <w:r>
        <w:t xml:space="preserve">VI </w:t>
      </w:r>
      <w:r w:rsidRPr="00422C5A">
        <w:t xml:space="preserve">du CCAP déroge à l'article </w:t>
      </w:r>
      <w:r>
        <w:t xml:space="preserve">14 </w:t>
      </w:r>
      <w:r w:rsidRPr="00422C5A">
        <w:t xml:space="preserve">du CCAG </w:t>
      </w:r>
      <w:r>
        <w:t>Pénalités</w:t>
      </w:r>
      <w:r w:rsidR="00415745">
        <w:t>.</w:t>
      </w:r>
    </w:p>
    <w:p w14:paraId="1BA6BCB6" w14:textId="5A20FC2B" w:rsidR="005211F3" w:rsidRPr="00A86924" w:rsidRDefault="005211F3" w:rsidP="00692388">
      <w:r w:rsidRPr="00422C5A">
        <w:t xml:space="preserve">L’article </w:t>
      </w:r>
      <w:r>
        <w:t>VI</w:t>
      </w:r>
      <w:r w:rsidR="00C917B4">
        <w:t>II</w:t>
      </w:r>
      <w:r>
        <w:t xml:space="preserve"> </w:t>
      </w:r>
      <w:r w:rsidRPr="00422C5A">
        <w:t xml:space="preserve">du CCAP déroge à l'article </w:t>
      </w:r>
      <w:r>
        <w:t xml:space="preserve">4 </w:t>
      </w:r>
      <w:r w:rsidRPr="00422C5A">
        <w:t xml:space="preserve">du CCAG </w:t>
      </w:r>
      <w:r w:rsidR="00C917B4" w:rsidRPr="00C917B4">
        <w:t>Confidentialité - Protection des données personnelles - Mesures de sécurité</w:t>
      </w:r>
      <w:r w:rsidRPr="00422C5A">
        <w:t>.</w:t>
      </w:r>
    </w:p>
    <w:p w14:paraId="11C3D9FA" w14:textId="0F6F90D6" w:rsidR="00791AA5" w:rsidRDefault="00422C5A" w:rsidP="00692388">
      <w:r w:rsidRPr="00422C5A">
        <w:t xml:space="preserve">L’article </w:t>
      </w:r>
      <w:r>
        <w:t>I</w:t>
      </w:r>
      <w:r w:rsidR="00C917B4">
        <w:t>X</w:t>
      </w:r>
      <w:r>
        <w:t xml:space="preserve"> </w:t>
      </w:r>
      <w:r w:rsidRPr="00422C5A">
        <w:t xml:space="preserve">du CCAP déroge à l'article </w:t>
      </w:r>
      <w:r w:rsidR="005211F3">
        <w:t>9</w:t>
      </w:r>
      <w:r w:rsidRPr="00422C5A">
        <w:t xml:space="preserve"> du CCAG </w:t>
      </w:r>
      <w:r w:rsidR="005211F3">
        <w:t>Assurances</w:t>
      </w:r>
      <w:r w:rsidRPr="00422C5A">
        <w:t>.</w:t>
      </w:r>
    </w:p>
    <w:p w14:paraId="138DF424" w14:textId="46141AFD" w:rsidR="005211F3" w:rsidRDefault="005211F3" w:rsidP="00692388">
      <w:r w:rsidRPr="00422C5A">
        <w:t xml:space="preserve">L’article </w:t>
      </w:r>
      <w:r>
        <w:t xml:space="preserve">X </w:t>
      </w:r>
      <w:r w:rsidRPr="00422C5A">
        <w:t xml:space="preserve">du CCAP déroge à l'article </w:t>
      </w:r>
      <w:r>
        <w:t>10</w:t>
      </w:r>
      <w:r w:rsidRPr="00422C5A">
        <w:t xml:space="preserve"> du CCAG </w:t>
      </w:r>
      <w:r>
        <w:t>Prix</w:t>
      </w:r>
      <w:r w:rsidRPr="00422C5A">
        <w:t>.</w:t>
      </w:r>
    </w:p>
    <w:p w14:paraId="00D44D23" w14:textId="0C5C2D10" w:rsidR="005211F3" w:rsidRDefault="005211F3" w:rsidP="00692388">
      <w:r w:rsidRPr="00422C5A">
        <w:t xml:space="preserve">L’article </w:t>
      </w:r>
      <w:r>
        <w:t>X</w:t>
      </w:r>
      <w:r w:rsidR="00C917B4">
        <w:t>I</w:t>
      </w:r>
      <w:r>
        <w:t xml:space="preserve"> </w:t>
      </w:r>
      <w:r w:rsidRPr="00422C5A">
        <w:t xml:space="preserve">du CCAP déroge à l'article </w:t>
      </w:r>
      <w:r>
        <w:t xml:space="preserve">28 </w:t>
      </w:r>
      <w:r w:rsidRPr="00422C5A">
        <w:t xml:space="preserve">du CCAG </w:t>
      </w:r>
      <w:r>
        <w:t>Opérations de vérification</w:t>
      </w:r>
      <w:r w:rsidRPr="00422C5A">
        <w:t>.</w:t>
      </w:r>
    </w:p>
    <w:p w14:paraId="78239465" w14:textId="0F397F8E" w:rsidR="00BB0C87" w:rsidRPr="00E752CB" w:rsidRDefault="005211F3" w:rsidP="00692388">
      <w:r w:rsidRPr="00422C5A">
        <w:t xml:space="preserve">L’article </w:t>
      </w:r>
      <w:r>
        <w:t>XI</w:t>
      </w:r>
      <w:r w:rsidR="00C917B4">
        <w:t>I</w:t>
      </w:r>
      <w:r>
        <w:t xml:space="preserve"> </w:t>
      </w:r>
      <w:r w:rsidRPr="00422C5A">
        <w:t xml:space="preserve">du CCAP déroge à l'article </w:t>
      </w:r>
      <w:r>
        <w:t xml:space="preserve">32 </w:t>
      </w:r>
      <w:r w:rsidRPr="00422C5A">
        <w:t xml:space="preserve">du CCAG </w:t>
      </w:r>
      <w:r>
        <w:t>Définition des résultat</w:t>
      </w:r>
      <w:r w:rsidR="00E752CB">
        <w:t>s</w:t>
      </w:r>
      <w:r w:rsidR="007F7E1E">
        <w:t>.</w:t>
      </w:r>
    </w:p>
    <w:p w14:paraId="5EB3918B" w14:textId="77777777" w:rsidR="00B93C2A" w:rsidRPr="009C2EE7" w:rsidRDefault="00B93C2A" w:rsidP="007816B1">
      <w:pPr>
        <w:pStyle w:val="Paragraphedeliste"/>
        <w:numPr>
          <w:ilvl w:val="0"/>
          <w:numId w:val="0"/>
        </w:numPr>
        <w:ind w:left="720"/>
      </w:pPr>
    </w:p>
    <w:sectPr w:rsidR="00B93C2A" w:rsidRPr="009C2EE7" w:rsidSect="00B05C99">
      <w:headerReference w:type="default" r:id="rId9"/>
      <w:footerReference w:type="default" r:id="rId10"/>
      <w:headerReference w:type="first" r:id="rId11"/>
      <w:footerReference w:type="first" r:id="rId12"/>
      <w:pgSz w:w="11906" w:h="16838" w:code="9"/>
      <w:pgMar w:top="2410" w:right="1134" w:bottom="1134" w:left="2835" w:header="709"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FCF07" w14:textId="77777777" w:rsidR="0072151F" w:rsidRDefault="0072151F" w:rsidP="00692388">
      <w:r>
        <w:separator/>
      </w:r>
    </w:p>
  </w:endnote>
  <w:endnote w:type="continuationSeparator" w:id="0">
    <w:p w14:paraId="4BAC4364" w14:textId="77777777" w:rsidR="0072151F" w:rsidRDefault="0072151F" w:rsidP="00692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1B545AA5" w:rsidR="001F0574" w:rsidRPr="00CC08E3" w:rsidRDefault="00E25A35" w:rsidP="00692388">
    <w:pPr>
      <w:pStyle w:val="Pieddepage"/>
      <w:rPr>
        <w:lang w:val="en-US"/>
      </w:rPr>
    </w:pPr>
    <w:r w:rsidRPr="00CC08E3">
      <w:rPr>
        <w:lang w:val="en-US"/>
      </w:rPr>
      <w:t xml:space="preserve">CCAP </w:t>
    </w:r>
    <w:r w:rsidR="00805097" w:rsidRPr="00CC08E3">
      <w:rPr>
        <w:lang w:val="en-US"/>
      </w:rPr>
      <w:t xml:space="preserve">GPM-G </w:t>
    </w:r>
    <w:r w:rsidR="006114AB" w:rsidRPr="00CC08E3">
      <w:rPr>
        <w:lang w:val="en-US"/>
      </w:rPr>
      <w:t xml:space="preserve">SG 25-03 </w:t>
    </w:r>
    <w:r w:rsidR="00C51D33">
      <w:rPr>
        <w:lang w:val="en-US"/>
      </w:rPr>
      <w:t xml:space="preserve">PESEE </w:t>
    </w:r>
    <w:r w:rsidR="006114AB" w:rsidRPr="00CC08E3">
      <w:rPr>
        <w:lang w:val="en-US"/>
      </w:rPr>
      <w:t>RX</w:t>
    </w:r>
    <w:r w:rsidR="00805097" w:rsidRPr="00CC08E3">
      <w:rPr>
        <w:lang w:val="en-US"/>
      </w:rPr>
      <w:t xml:space="preserve">                                                                      </w:t>
    </w:r>
    <w:r w:rsidR="00F700E3" w:rsidRPr="004603EC">
      <w:rPr>
        <w:lang w:val="en-US"/>
      </w:rPr>
      <w:t>GPM</w:t>
    </w:r>
    <w:r w:rsidR="00E6271F">
      <w:rPr>
        <w:lang w:val="en-US"/>
      </w:rPr>
      <w:t xml:space="preserve"> </w:t>
    </w:r>
    <w:r w:rsidR="00F700E3" w:rsidRPr="004603EC">
      <w:rPr>
        <w:lang w:val="en-US"/>
      </w:rPr>
      <w:t>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3FD2D" w14:textId="28949FE9" w:rsidR="00400CFC" w:rsidRPr="00400CFC" w:rsidRDefault="00294A18" w:rsidP="00692388">
    <w:pPr>
      <w:rPr>
        <w:lang w:val="en-ZA"/>
      </w:rPr>
    </w:pPr>
    <w:r w:rsidRPr="00D67774">
      <w:rPr>
        <w:lang w:val="en-ZA"/>
      </w:rPr>
      <w:t xml:space="preserve">CCAP GPM-G </w:t>
    </w:r>
    <w:r>
      <w:t>SG 25-03 -RX</w:t>
    </w:r>
    <w:r w:rsidRPr="00D67774">
      <w:rPr>
        <w:lang w:val="en-Z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D658A" w14:textId="77777777" w:rsidR="0072151F" w:rsidRDefault="0072151F" w:rsidP="00692388">
      <w:r>
        <w:separator/>
      </w:r>
    </w:p>
  </w:footnote>
  <w:footnote w:type="continuationSeparator" w:id="0">
    <w:p w14:paraId="1E1DFEFE" w14:textId="77777777" w:rsidR="0072151F" w:rsidRDefault="0072151F" w:rsidP="00692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rsidP="00692388">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38768436" name="Image 103876843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rsidP="00692388">
    <w:pPr>
      <w:pStyle w:val="En-tte"/>
    </w:pPr>
  </w:p>
  <w:p w14:paraId="5FB922C5" w14:textId="77777777" w:rsidR="00011E25" w:rsidRDefault="00011E25" w:rsidP="00692388">
    <w:pPr>
      <w:pStyle w:val="En-tte"/>
    </w:pPr>
  </w:p>
  <w:p w14:paraId="78331AE6" w14:textId="4D3EE2FB" w:rsidR="00011E25" w:rsidRPr="00011E25" w:rsidRDefault="00400CFC" w:rsidP="00692388">
    <w:pPr>
      <w:pStyle w:val="En-tte"/>
    </w:pPr>
    <w:r>
      <w:tab/>
      <w:t xml:space="preserve">PESEE DES POSTES </w:t>
    </w:r>
    <w:r w:rsidR="009F3A64">
      <w:t>du GPM - Guyane</w:t>
    </w:r>
    <w:r w:rsidR="00B8101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692388">
    <w:pPr>
      <w:pStyle w:val="Pieddepage"/>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502052886" name="Image 50205288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t xml:space="preserve">                                                                                                      </w:t>
    </w:r>
    <w:r w:rsidR="008E4863">
      <w:t xml:space="preserve">       </w:t>
    </w:r>
  </w:p>
  <w:p w14:paraId="6A800816" w14:textId="77777777" w:rsidR="00F700E3" w:rsidRDefault="00F700E3" w:rsidP="00692388">
    <w:pPr>
      <w:pStyle w:val="Pieddepage"/>
    </w:pPr>
  </w:p>
  <w:p w14:paraId="76D03E2E" w14:textId="77777777" w:rsidR="00F700E3" w:rsidRDefault="00F700E3" w:rsidP="00692388">
    <w:pPr>
      <w:pStyle w:val="Pieddepage"/>
    </w:pPr>
  </w:p>
  <w:p w14:paraId="1BBEC1F4" w14:textId="77777777" w:rsidR="00AF4186" w:rsidRDefault="00F700E3" w:rsidP="00692388">
    <w:pPr>
      <w:pStyle w:val="En-tte"/>
    </w:pPr>
    <w:r>
      <w:t xml:space="preserve"> </w:t>
    </w:r>
  </w:p>
  <w:p w14:paraId="3335CD32" w14:textId="47246BAF" w:rsidR="00AF4186" w:rsidRDefault="00AF4186" w:rsidP="00692388">
    <w:pPr>
      <w:pStyle w:val="En-tte"/>
    </w:pPr>
    <w:r w:rsidRPr="00011E25">
      <w:t xml:space="preserve"> </w:t>
    </w:r>
  </w:p>
  <w:p w14:paraId="05C2DDB4" w14:textId="320DC5D7" w:rsidR="00F700E3" w:rsidRPr="004603EC" w:rsidRDefault="00F700E3" w:rsidP="00692388">
    <w:pPr>
      <w:pStyle w:val="Pieddepage"/>
    </w:pPr>
  </w:p>
  <w:p w14:paraId="11D2E231" w14:textId="1FBFEEE6" w:rsidR="008E4863" w:rsidRPr="0057346D" w:rsidRDefault="008E4863" w:rsidP="00692388">
    <w:pPr>
      <w:pStyle w:val="En-tte"/>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522227D"/>
    <w:multiLevelType w:val="multilevel"/>
    <w:tmpl w:val="C242F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271DB6"/>
    <w:multiLevelType w:val="multilevel"/>
    <w:tmpl w:val="D6E6F152"/>
    <w:lvl w:ilvl="0">
      <w:start w:val="1"/>
      <w:numFmt w:val="upperRoman"/>
      <w:pStyle w:val="Titre1"/>
      <w:lvlText w:val="Article %1."/>
      <w:lvlJc w:val="left"/>
      <w:pPr>
        <w:ind w:left="0" w:firstLine="0"/>
      </w:pPr>
    </w:lvl>
    <w:lvl w:ilvl="1">
      <w:start w:val="1"/>
      <w:numFmt w:val="decimalZero"/>
      <w:pStyle w:val="Titre2"/>
      <w:isLgl/>
      <w:lvlText w:val="Section %1.%2"/>
      <w:lvlJc w:val="left"/>
      <w:pPr>
        <w:ind w:left="568"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7" w15:restartNumberingAfterBreak="0">
    <w:nsid w:val="23F351CF"/>
    <w:multiLevelType w:val="hybridMultilevel"/>
    <w:tmpl w:val="1B40E0E2"/>
    <w:lvl w:ilvl="0" w:tplc="0D6E8484">
      <w:start w:val="3"/>
      <w:numFmt w:val="bullet"/>
      <w:lvlText w:val="•"/>
      <w:lvlJc w:val="left"/>
      <w:pPr>
        <w:ind w:left="1068" w:hanging="708"/>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8A33C2"/>
    <w:multiLevelType w:val="hybridMultilevel"/>
    <w:tmpl w:val="24F41D0E"/>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830CEE"/>
    <w:multiLevelType w:val="multilevel"/>
    <w:tmpl w:val="828A6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8722D1"/>
    <w:multiLevelType w:val="hybridMultilevel"/>
    <w:tmpl w:val="C254CCF4"/>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675020"/>
    <w:multiLevelType w:val="multilevel"/>
    <w:tmpl w:val="597448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84089484">
    <w:abstractNumId w:val="3"/>
  </w:num>
  <w:num w:numId="2" w16cid:durableId="2041084167">
    <w:abstractNumId w:val="2"/>
  </w:num>
  <w:num w:numId="3" w16cid:durableId="1992557924">
    <w:abstractNumId w:val="1"/>
  </w:num>
  <w:num w:numId="4" w16cid:durableId="1275555927">
    <w:abstractNumId w:val="0"/>
  </w:num>
  <w:num w:numId="5" w16cid:durableId="820999849">
    <w:abstractNumId w:val="10"/>
  </w:num>
  <w:num w:numId="6" w16cid:durableId="1064567346">
    <w:abstractNumId w:val="8"/>
  </w:num>
  <w:num w:numId="7" w16cid:durableId="702628980">
    <w:abstractNumId w:val="6"/>
  </w:num>
  <w:num w:numId="8" w16cid:durableId="437213234">
    <w:abstractNumId w:val="5"/>
  </w:num>
  <w:num w:numId="9" w16cid:durableId="972713245">
    <w:abstractNumId w:val="7"/>
  </w:num>
  <w:num w:numId="10" w16cid:durableId="324944121">
    <w:abstractNumId w:val="4"/>
  </w:num>
  <w:num w:numId="11" w16cid:durableId="1836607119">
    <w:abstractNumId w:val="9"/>
  </w:num>
  <w:num w:numId="12" w16cid:durableId="97720806">
    <w:abstractNumId w:val="11"/>
  </w:num>
  <w:num w:numId="13" w16cid:durableId="13566116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13793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11E25"/>
    <w:rsid w:val="00012023"/>
    <w:rsid w:val="00016BA3"/>
    <w:rsid w:val="0003257F"/>
    <w:rsid w:val="00036A02"/>
    <w:rsid w:val="00043380"/>
    <w:rsid w:val="00043CD1"/>
    <w:rsid w:val="00050A4C"/>
    <w:rsid w:val="000559A4"/>
    <w:rsid w:val="0006644B"/>
    <w:rsid w:val="000929E6"/>
    <w:rsid w:val="000B0162"/>
    <w:rsid w:val="000B19F6"/>
    <w:rsid w:val="000B4395"/>
    <w:rsid w:val="000C358F"/>
    <w:rsid w:val="000C4F1F"/>
    <w:rsid w:val="000E104C"/>
    <w:rsid w:val="000E4550"/>
    <w:rsid w:val="000F2D1F"/>
    <w:rsid w:val="00102F05"/>
    <w:rsid w:val="001050F1"/>
    <w:rsid w:val="001054C7"/>
    <w:rsid w:val="00105AD3"/>
    <w:rsid w:val="00111E8F"/>
    <w:rsid w:val="00115026"/>
    <w:rsid w:val="00116CF5"/>
    <w:rsid w:val="001214BE"/>
    <w:rsid w:val="0012287F"/>
    <w:rsid w:val="0012348F"/>
    <w:rsid w:val="00134705"/>
    <w:rsid w:val="00137429"/>
    <w:rsid w:val="00146186"/>
    <w:rsid w:val="00155E90"/>
    <w:rsid w:val="00160624"/>
    <w:rsid w:val="0016505A"/>
    <w:rsid w:val="00172D9C"/>
    <w:rsid w:val="00172E1A"/>
    <w:rsid w:val="001745A4"/>
    <w:rsid w:val="001817C1"/>
    <w:rsid w:val="00191A59"/>
    <w:rsid w:val="001921AF"/>
    <w:rsid w:val="001A08EE"/>
    <w:rsid w:val="001B5B9D"/>
    <w:rsid w:val="001C1851"/>
    <w:rsid w:val="001D000E"/>
    <w:rsid w:val="001D2796"/>
    <w:rsid w:val="001F017F"/>
    <w:rsid w:val="001F0574"/>
    <w:rsid w:val="001F1BCF"/>
    <w:rsid w:val="001F5D68"/>
    <w:rsid w:val="001F5FE6"/>
    <w:rsid w:val="00203D6C"/>
    <w:rsid w:val="00212E61"/>
    <w:rsid w:val="00215AF5"/>
    <w:rsid w:val="0022067B"/>
    <w:rsid w:val="0024001C"/>
    <w:rsid w:val="00243F24"/>
    <w:rsid w:val="002467E2"/>
    <w:rsid w:val="00247CE8"/>
    <w:rsid w:val="0025161C"/>
    <w:rsid w:val="0026464C"/>
    <w:rsid w:val="00267832"/>
    <w:rsid w:val="00267A31"/>
    <w:rsid w:val="00270368"/>
    <w:rsid w:val="0027164C"/>
    <w:rsid w:val="00271A62"/>
    <w:rsid w:val="00272836"/>
    <w:rsid w:val="00275745"/>
    <w:rsid w:val="00284865"/>
    <w:rsid w:val="0028762B"/>
    <w:rsid w:val="0029040A"/>
    <w:rsid w:val="00294A18"/>
    <w:rsid w:val="002961DF"/>
    <w:rsid w:val="002A01D2"/>
    <w:rsid w:val="002A0663"/>
    <w:rsid w:val="002A1980"/>
    <w:rsid w:val="002A3B03"/>
    <w:rsid w:val="002B2F77"/>
    <w:rsid w:val="002B3C96"/>
    <w:rsid w:val="002B78C1"/>
    <w:rsid w:val="002C2146"/>
    <w:rsid w:val="002C6C58"/>
    <w:rsid w:val="002C6D7A"/>
    <w:rsid w:val="002D7ACA"/>
    <w:rsid w:val="002E22B3"/>
    <w:rsid w:val="002E6B5F"/>
    <w:rsid w:val="003112EF"/>
    <w:rsid w:val="00313C44"/>
    <w:rsid w:val="00315909"/>
    <w:rsid w:val="00327534"/>
    <w:rsid w:val="00353593"/>
    <w:rsid w:val="00375012"/>
    <w:rsid w:val="003842B6"/>
    <w:rsid w:val="00385D2E"/>
    <w:rsid w:val="00395703"/>
    <w:rsid w:val="00397B13"/>
    <w:rsid w:val="003A5DCC"/>
    <w:rsid w:val="003B5381"/>
    <w:rsid w:val="003C3C74"/>
    <w:rsid w:val="003C5EC9"/>
    <w:rsid w:val="003C65E8"/>
    <w:rsid w:val="003D0E2C"/>
    <w:rsid w:val="003D2A96"/>
    <w:rsid w:val="003E4DA4"/>
    <w:rsid w:val="003F1DDC"/>
    <w:rsid w:val="003F7627"/>
    <w:rsid w:val="003F7E04"/>
    <w:rsid w:val="00400CFC"/>
    <w:rsid w:val="00404946"/>
    <w:rsid w:val="004063F8"/>
    <w:rsid w:val="00415745"/>
    <w:rsid w:val="004164A8"/>
    <w:rsid w:val="00422C5A"/>
    <w:rsid w:val="00436BD7"/>
    <w:rsid w:val="00441E32"/>
    <w:rsid w:val="004472C5"/>
    <w:rsid w:val="004478EA"/>
    <w:rsid w:val="00456C77"/>
    <w:rsid w:val="004657BA"/>
    <w:rsid w:val="004741BF"/>
    <w:rsid w:val="00484E63"/>
    <w:rsid w:val="00487F5D"/>
    <w:rsid w:val="004977C9"/>
    <w:rsid w:val="004A78B3"/>
    <w:rsid w:val="004B58D4"/>
    <w:rsid w:val="004B662D"/>
    <w:rsid w:val="004C1A95"/>
    <w:rsid w:val="004C4623"/>
    <w:rsid w:val="004D46DE"/>
    <w:rsid w:val="004E14B9"/>
    <w:rsid w:val="004E444D"/>
    <w:rsid w:val="004E5A16"/>
    <w:rsid w:val="004F1F71"/>
    <w:rsid w:val="004F36E3"/>
    <w:rsid w:val="004F799D"/>
    <w:rsid w:val="005016CC"/>
    <w:rsid w:val="0050623B"/>
    <w:rsid w:val="00516003"/>
    <w:rsid w:val="005211F3"/>
    <w:rsid w:val="0053720D"/>
    <w:rsid w:val="00541445"/>
    <w:rsid w:val="00542033"/>
    <w:rsid w:val="00543129"/>
    <w:rsid w:val="005452DB"/>
    <w:rsid w:val="00556382"/>
    <w:rsid w:val="00563F22"/>
    <w:rsid w:val="0057346D"/>
    <w:rsid w:val="0057675B"/>
    <w:rsid w:val="005772C7"/>
    <w:rsid w:val="00584267"/>
    <w:rsid w:val="00594060"/>
    <w:rsid w:val="005942A3"/>
    <w:rsid w:val="00597990"/>
    <w:rsid w:val="005B09A7"/>
    <w:rsid w:val="005B229F"/>
    <w:rsid w:val="005B63BC"/>
    <w:rsid w:val="005C046D"/>
    <w:rsid w:val="005C24A7"/>
    <w:rsid w:val="005C7312"/>
    <w:rsid w:val="005C7ED0"/>
    <w:rsid w:val="005D4CB8"/>
    <w:rsid w:val="005E27FB"/>
    <w:rsid w:val="005E4B18"/>
    <w:rsid w:val="005E63E3"/>
    <w:rsid w:val="005F2FA6"/>
    <w:rsid w:val="005F4F8D"/>
    <w:rsid w:val="00600003"/>
    <w:rsid w:val="00600B01"/>
    <w:rsid w:val="0061130B"/>
    <w:rsid w:val="006114AB"/>
    <w:rsid w:val="0061446C"/>
    <w:rsid w:val="00621CD0"/>
    <w:rsid w:val="00640AA8"/>
    <w:rsid w:val="006503F8"/>
    <w:rsid w:val="00653A06"/>
    <w:rsid w:val="00657430"/>
    <w:rsid w:val="00657E06"/>
    <w:rsid w:val="00667FF0"/>
    <w:rsid w:val="00671FF5"/>
    <w:rsid w:val="006728D4"/>
    <w:rsid w:val="00674513"/>
    <w:rsid w:val="006912B1"/>
    <w:rsid w:val="00692388"/>
    <w:rsid w:val="00694703"/>
    <w:rsid w:val="0069511D"/>
    <w:rsid w:val="006A643F"/>
    <w:rsid w:val="006B3E36"/>
    <w:rsid w:val="006D43B1"/>
    <w:rsid w:val="006D6EB7"/>
    <w:rsid w:val="006E2FFD"/>
    <w:rsid w:val="006E69C7"/>
    <w:rsid w:val="006F4887"/>
    <w:rsid w:val="00704A0C"/>
    <w:rsid w:val="00717F58"/>
    <w:rsid w:val="0072151F"/>
    <w:rsid w:val="0072299A"/>
    <w:rsid w:val="007263F5"/>
    <w:rsid w:val="00732376"/>
    <w:rsid w:val="00732D58"/>
    <w:rsid w:val="00743CBC"/>
    <w:rsid w:val="00772027"/>
    <w:rsid w:val="007726C8"/>
    <w:rsid w:val="007816B1"/>
    <w:rsid w:val="00782B1B"/>
    <w:rsid w:val="00783ED7"/>
    <w:rsid w:val="0078747A"/>
    <w:rsid w:val="00791AA5"/>
    <w:rsid w:val="007931BE"/>
    <w:rsid w:val="00797596"/>
    <w:rsid w:val="007A0FE4"/>
    <w:rsid w:val="007A44EC"/>
    <w:rsid w:val="007A6150"/>
    <w:rsid w:val="007B017C"/>
    <w:rsid w:val="007B75FD"/>
    <w:rsid w:val="007C04BF"/>
    <w:rsid w:val="007D52FC"/>
    <w:rsid w:val="007E7497"/>
    <w:rsid w:val="007F1BF1"/>
    <w:rsid w:val="007F22A0"/>
    <w:rsid w:val="007F7E1E"/>
    <w:rsid w:val="007F7E40"/>
    <w:rsid w:val="008012C0"/>
    <w:rsid w:val="00802221"/>
    <w:rsid w:val="00803994"/>
    <w:rsid w:val="00805097"/>
    <w:rsid w:val="00805A2D"/>
    <w:rsid w:val="008062D1"/>
    <w:rsid w:val="00816BD7"/>
    <w:rsid w:val="00820680"/>
    <w:rsid w:val="00830216"/>
    <w:rsid w:val="00830420"/>
    <w:rsid w:val="008333B5"/>
    <w:rsid w:val="008376D0"/>
    <w:rsid w:val="00844007"/>
    <w:rsid w:val="00847BAE"/>
    <w:rsid w:val="00854AB1"/>
    <w:rsid w:val="00855C60"/>
    <w:rsid w:val="00857BE0"/>
    <w:rsid w:val="00861D8B"/>
    <w:rsid w:val="00864DD6"/>
    <w:rsid w:val="008A353E"/>
    <w:rsid w:val="008A6734"/>
    <w:rsid w:val="008C1E61"/>
    <w:rsid w:val="008C4500"/>
    <w:rsid w:val="008D7E8B"/>
    <w:rsid w:val="008E4863"/>
    <w:rsid w:val="008F2E64"/>
    <w:rsid w:val="00901A3A"/>
    <w:rsid w:val="00905E14"/>
    <w:rsid w:val="00907CD7"/>
    <w:rsid w:val="00926A35"/>
    <w:rsid w:val="00930FE0"/>
    <w:rsid w:val="0093469D"/>
    <w:rsid w:val="00934DA0"/>
    <w:rsid w:val="009369DE"/>
    <w:rsid w:val="00937D9E"/>
    <w:rsid w:val="0095093B"/>
    <w:rsid w:val="0095519B"/>
    <w:rsid w:val="00962FD5"/>
    <w:rsid w:val="0097218E"/>
    <w:rsid w:val="0097264B"/>
    <w:rsid w:val="0097650D"/>
    <w:rsid w:val="0097712D"/>
    <w:rsid w:val="00980711"/>
    <w:rsid w:val="00986973"/>
    <w:rsid w:val="00993119"/>
    <w:rsid w:val="0099640B"/>
    <w:rsid w:val="009A073E"/>
    <w:rsid w:val="009A1147"/>
    <w:rsid w:val="009A1D88"/>
    <w:rsid w:val="009B32F7"/>
    <w:rsid w:val="009B355E"/>
    <w:rsid w:val="009B689D"/>
    <w:rsid w:val="009C020E"/>
    <w:rsid w:val="009C2EE7"/>
    <w:rsid w:val="009C4367"/>
    <w:rsid w:val="009E09AE"/>
    <w:rsid w:val="009E10E7"/>
    <w:rsid w:val="009F0371"/>
    <w:rsid w:val="009F3A64"/>
    <w:rsid w:val="00A016C9"/>
    <w:rsid w:val="00A03845"/>
    <w:rsid w:val="00A03A89"/>
    <w:rsid w:val="00A06F4D"/>
    <w:rsid w:val="00A070F6"/>
    <w:rsid w:val="00A23C24"/>
    <w:rsid w:val="00A34C10"/>
    <w:rsid w:val="00A36D7D"/>
    <w:rsid w:val="00A37FAC"/>
    <w:rsid w:val="00A42EA3"/>
    <w:rsid w:val="00A46B9F"/>
    <w:rsid w:val="00A5021C"/>
    <w:rsid w:val="00A65A30"/>
    <w:rsid w:val="00A65E41"/>
    <w:rsid w:val="00A67102"/>
    <w:rsid w:val="00A812C2"/>
    <w:rsid w:val="00A86924"/>
    <w:rsid w:val="00A86A0F"/>
    <w:rsid w:val="00A97729"/>
    <w:rsid w:val="00A97923"/>
    <w:rsid w:val="00AA5C2F"/>
    <w:rsid w:val="00AA7022"/>
    <w:rsid w:val="00AB337F"/>
    <w:rsid w:val="00AC4BB5"/>
    <w:rsid w:val="00AD5C21"/>
    <w:rsid w:val="00AE1F59"/>
    <w:rsid w:val="00AE311A"/>
    <w:rsid w:val="00AE3274"/>
    <w:rsid w:val="00AE5FD6"/>
    <w:rsid w:val="00AF4186"/>
    <w:rsid w:val="00AF4F1A"/>
    <w:rsid w:val="00AF5AD9"/>
    <w:rsid w:val="00AF643D"/>
    <w:rsid w:val="00B05C99"/>
    <w:rsid w:val="00B10575"/>
    <w:rsid w:val="00B230EE"/>
    <w:rsid w:val="00B255ED"/>
    <w:rsid w:val="00B300A7"/>
    <w:rsid w:val="00B35624"/>
    <w:rsid w:val="00B35DC6"/>
    <w:rsid w:val="00B370F9"/>
    <w:rsid w:val="00B37AB3"/>
    <w:rsid w:val="00B46982"/>
    <w:rsid w:val="00B51409"/>
    <w:rsid w:val="00B51833"/>
    <w:rsid w:val="00B6256E"/>
    <w:rsid w:val="00B81017"/>
    <w:rsid w:val="00B83C8E"/>
    <w:rsid w:val="00B87EC6"/>
    <w:rsid w:val="00B92C7E"/>
    <w:rsid w:val="00B93C2A"/>
    <w:rsid w:val="00BA468F"/>
    <w:rsid w:val="00BA5C2C"/>
    <w:rsid w:val="00BB0C87"/>
    <w:rsid w:val="00BB196B"/>
    <w:rsid w:val="00BB196C"/>
    <w:rsid w:val="00BD14E0"/>
    <w:rsid w:val="00BD754A"/>
    <w:rsid w:val="00BF796B"/>
    <w:rsid w:val="00C067AC"/>
    <w:rsid w:val="00C078BC"/>
    <w:rsid w:val="00C11EB8"/>
    <w:rsid w:val="00C127E9"/>
    <w:rsid w:val="00C1439A"/>
    <w:rsid w:val="00C144A1"/>
    <w:rsid w:val="00C24464"/>
    <w:rsid w:val="00C2646B"/>
    <w:rsid w:val="00C305A1"/>
    <w:rsid w:val="00C353D6"/>
    <w:rsid w:val="00C43A21"/>
    <w:rsid w:val="00C50EA7"/>
    <w:rsid w:val="00C51D33"/>
    <w:rsid w:val="00C545C3"/>
    <w:rsid w:val="00C569AB"/>
    <w:rsid w:val="00C63855"/>
    <w:rsid w:val="00C653D1"/>
    <w:rsid w:val="00C66A18"/>
    <w:rsid w:val="00C66E3F"/>
    <w:rsid w:val="00C80B79"/>
    <w:rsid w:val="00C83A6C"/>
    <w:rsid w:val="00C917B4"/>
    <w:rsid w:val="00CA6DDB"/>
    <w:rsid w:val="00CB0D22"/>
    <w:rsid w:val="00CC08E3"/>
    <w:rsid w:val="00CC2CB8"/>
    <w:rsid w:val="00CD70B5"/>
    <w:rsid w:val="00CE19D2"/>
    <w:rsid w:val="00CE497E"/>
    <w:rsid w:val="00CE6C02"/>
    <w:rsid w:val="00CF5DF7"/>
    <w:rsid w:val="00D06DD8"/>
    <w:rsid w:val="00D07B14"/>
    <w:rsid w:val="00D110C4"/>
    <w:rsid w:val="00D111EF"/>
    <w:rsid w:val="00D3395D"/>
    <w:rsid w:val="00D5141E"/>
    <w:rsid w:val="00D52388"/>
    <w:rsid w:val="00D52701"/>
    <w:rsid w:val="00D557F2"/>
    <w:rsid w:val="00D67774"/>
    <w:rsid w:val="00D73B75"/>
    <w:rsid w:val="00D74FDF"/>
    <w:rsid w:val="00D7666F"/>
    <w:rsid w:val="00D9430A"/>
    <w:rsid w:val="00D94AC0"/>
    <w:rsid w:val="00D95BE6"/>
    <w:rsid w:val="00D95F18"/>
    <w:rsid w:val="00DA3E9A"/>
    <w:rsid w:val="00DB3644"/>
    <w:rsid w:val="00DC0640"/>
    <w:rsid w:val="00DC2587"/>
    <w:rsid w:val="00DC4D49"/>
    <w:rsid w:val="00DD0556"/>
    <w:rsid w:val="00DD5647"/>
    <w:rsid w:val="00DD6D92"/>
    <w:rsid w:val="00DD701C"/>
    <w:rsid w:val="00DE59EF"/>
    <w:rsid w:val="00DF150B"/>
    <w:rsid w:val="00DF2C6B"/>
    <w:rsid w:val="00DF45FD"/>
    <w:rsid w:val="00DF5AE9"/>
    <w:rsid w:val="00E031B9"/>
    <w:rsid w:val="00E04C64"/>
    <w:rsid w:val="00E14BE0"/>
    <w:rsid w:val="00E15EDD"/>
    <w:rsid w:val="00E237F0"/>
    <w:rsid w:val="00E25A35"/>
    <w:rsid w:val="00E27705"/>
    <w:rsid w:val="00E32CE7"/>
    <w:rsid w:val="00E33558"/>
    <w:rsid w:val="00E35425"/>
    <w:rsid w:val="00E40309"/>
    <w:rsid w:val="00E42313"/>
    <w:rsid w:val="00E50219"/>
    <w:rsid w:val="00E52AA3"/>
    <w:rsid w:val="00E6271F"/>
    <w:rsid w:val="00E71FEE"/>
    <w:rsid w:val="00E749B2"/>
    <w:rsid w:val="00E752CB"/>
    <w:rsid w:val="00E829C7"/>
    <w:rsid w:val="00E91FBA"/>
    <w:rsid w:val="00E92AB9"/>
    <w:rsid w:val="00E92DD4"/>
    <w:rsid w:val="00E95C85"/>
    <w:rsid w:val="00E9718A"/>
    <w:rsid w:val="00EA00D1"/>
    <w:rsid w:val="00EA126C"/>
    <w:rsid w:val="00EB5C6A"/>
    <w:rsid w:val="00EB69B2"/>
    <w:rsid w:val="00EC7FC3"/>
    <w:rsid w:val="00ED1D3D"/>
    <w:rsid w:val="00ED3F99"/>
    <w:rsid w:val="00EE7661"/>
    <w:rsid w:val="00EF6D81"/>
    <w:rsid w:val="00EF7B2E"/>
    <w:rsid w:val="00F01C9A"/>
    <w:rsid w:val="00F202B1"/>
    <w:rsid w:val="00F22895"/>
    <w:rsid w:val="00F26CAA"/>
    <w:rsid w:val="00F270FF"/>
    <w:rsid w:val="00F365E5"/>
    <w:rsid w:val="00F505C1"/>
    <w:rsid w:val="00F63A81"/>
    <w:rsid w:val="00F63B60"/>
    <w:rsid w:val="00F653FB"/>
    <w:rsid w:val="00F65780"/>
    <w:rsid w:val="00F700E3"/>
    <w:rsid w:val="00F70B95"/>
    <w:rsid w:val="00F758B2"/>
    <w:rsid w:val="00F8009E"/>
    <w:rsid w:val="00F877EA"/>
    <w:rsid w:val="00F94620"/>
    <w:rsid w:val="00F9571D"/>
    <w:rsid w:val="00FA23EF"/>
    <w:rsid w:val="00FB30CD"/>
    <w:rsid w:val="00FB4656"/>
    <w:rsid w:val="00FC4D2D"/>
    <w:rsid w:val="00FD6FEB"/>
    <w:rsid w:val="00FE355A"/>
    <w:rsid w:val="00FF0DD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388"/>
    <w:pPr>
      <w:spacing w:after="160"/>
      <w:ind w:left="-1134"/>
      <w:jc w:val="both"/>
    </w:pPr>
    <w:rPr>
      <w:rFonts w:ascii="Arial" w:hAnsi="Arial"/>
      <w:sz w:val="20"/>
      <w:lang w:val="fr-BE"/>
    </w:rPr>
  </w:style>
  <w:style w:type="paragraph" w:styleId="Titre1">
    <w:name w:val="heading 1"/>
    <w:basedOn w:val="Normal"/>
    <w:next w:val="Normal"/>
    <w:link w:val="Titre1Car"/>
    <w:qFormat/>
    <w:rsid w:val="00692388"/>
    <w:pPr>
      <w:keepNext/>
      <w:keepLines/>
      <w:numPr>
        <w:numId w:val="8"/>
      </w:numPr>
      <w:spacing w:before="240" w:after="120"/>
      <w:ind w:left="-992" w:hanging="142"/>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0F2D1F"/>
    <w:pPr>
      <w:numPr>
        <w:ilvl w:val="1"/>
        <w:numId w:val="8"/>
      </w:numPr>
      <w:tabs>
        <w:tab w:val="left" w:pos="1134"/>
      </w:tabs>
      <w:spacing w:before="120" w:after="120" w:line="240" w:lineRule="auto"/>
      <w:ind w:left="227" w:hanging="1361"/>
      <w:jc w:val="left"/>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692388"/>
    <w:pPr>
      <w:numPr>
        <w:ilvl w:val="2"/>
        <w:numId w:val="8"/>
      </w:numPr>
      <w:tabs>
        <w:tab w:val="left" w:pos="426"/>
      </w:tabs>
      <w:spacing w:after="120" w:line="240" w:lineRule="auto"/>
      <w:ind w:hanging="431"/>
      <w:outlineLvl w:val="2"/>
    </w:pPr>
    <w:rPr>
      <w:rFonts w:ascii="Century Gothic" w:eastAsia="Times New Roman" w:hAnsi="Century Gothic" w:cs="Calibri"/>
      <w:b/>
      <w:i/>
      <w:color w:val="0070C0"/>
      <w:szCs w:val="20"/>
      <w:lang w:eastAsia="fr-FR"/>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8"/>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8"/>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8"/>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8"/>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692388"/>
    <w:rPr>
      <w:rFonts w:asciiTheme="majorHAnsi" w:eastAsiaTheme="majorEastAsia" w:hAnsiTheme="majorHAnsi" w:cstheme="majorBidi"/>
      <w:color w:val="365F91" w:themeColor="accent1" w:themeShade="BF"/>
      <w:sz w:val="32"/>
      <w:szCs w:val="32"/>
      <w:lang w:val="fr-BE"/>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0F2D1F"/>
    <w:rPr>
      <w:rFonts w:ascii="Century Gothic" w:eastAsia="Times New Roman" w:hAnsi="Century Gothic" w:cs="Calibri"/>
      <w:color w:val="0070C0"/>
      <w:sz w:val="24"/>
      <w:szCs w:val="24"/>
      <w:lang w:val="fr-BE" w:eastAsia="fr-FR"/>
    </w:rPr>
  </w:style>
  <w:style w:type="character" w:customStyle="1" w:styleId="Titre3Car">
    <w:name w:val="Titre 3 Car"/>
    <w:basedOn w:val="Policepardfaut"/>
    <w:link w:val="Titre3"/>
    <w:rsid w:val="00692388"/>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val="fr-BE"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val="fr-BE"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val="fr-BE"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val="fr-BE"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pPr>
    <w:rPr>
      <w:rFonts w:ascii="Century Gothic" w:eastAsia="Times New Roman" w:hAnsi="Century Gothic" w:cs="Calibri"/>
      <w:szCs w:val="20"/>
      <w:lang w:eastAsia="fr-FR"/>
    </w:rPr>
  </w:style>
  <w:style w:type="paragraph" w:styleId="TM1">
    <w:name w:val="toc 1"/>
    <w:basedOn w:val="Normal"/>
    <w:next w:val="Normal"/>
    <w:link w:val="TM1Car"/>
    <w:autoRedefine/>
    <w:uiPriority w:val="39"/>
    <w:unhideWhenUsed/>
    <w:rsid w:val="002C2146"/>
    <w:pPr>
      <w:tabs>
        <w:tab w:val="right" w:pos="567"/>
        <w:tab w:val="right" w:leader="dot" w:pos="7927"/>
      </w:tabs>
      <w:spacing w:before="120" w:after="0" w:line="240" w:lineRule="auto"/>
      <w:ind w:left="0"/>
      <w:jc w:val="left"/>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ind w:left="-1134"/>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6"/>
      </w:numPr>
      <w:spacing w:line="240" w:lineRule="auto"/>
      <w:contextualSpacing/>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7"/>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val="fr-BE"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pPr>
    <w:rPr>
      <w:rFonts w:ascii="Calibri" w:eastAsia="Calibri" w:hAnsi="Calibri" w:cs="Calibri"/>
      <w:sz w:val="22"/>
    </w:rPr>
  </w:style>
  <w:style w:type="paragraph" w:customStyle="1" w:styleId="TM10">
    <w:name w:val="TM1"/>
    <w:basedOn w:val="TM1"/>
    <w:link w:val="TM1Car0"/>
    <w:qFormat/>
    <w:rsid w:val="002C2146"/>
    <w:pPr>
      <w:tabs>
        <w:tab w:val="right" w:pos="1134"/>
      </w:tabs>
    </w:pPr>
    <w:rPr>
      <w:noProof/>
    </w:rPr>
  </w:style>
  <w:style w:type="character" w:customStyle="1" w:styleId="TM1Car">
    <w:name w:val="TM 1 Car"/>
    <w:basedOn w:val="Policepardfaut"/>
    <w:link w:val="TM1"/>
    <w:uiPriority w:val="39"/>
    <w:rsid w:val="002C2146"/>
    <w:rPr>
      <w:rFonts w:ascii="Calibri" w:eastAsia="Times New Roman" w:hAnsi="Calibri" w:cs="Calibri"/>
      <w:b/>
      <w:bCs/>
      <w:i/>
      <w:iCs/>
      <w:sz w:val="24"/>
      <w:szCs w:val="24"/>
      <w:lang w:val="fr-BE" w:eastAsia="fr-FR"/>
    </w:rPr>
  </w:style>
  <w:style w:type="character" w:customStyle="1" w:styleId="TM1Car0">
    <w:name w:val="TM1 Car"/>
    <w:basedOn w:val="TM1Car"/>
    <w:link w:val="TM10"/>
    <w:rsid w:val="002C2146"/>
    <w:rPr>
      <w:rFonts w:ascii="Calibri" w:eastAsia="Times New Roman" w:hAnsi="Calibri" w:cs="Calibri"/>
      <w:b/>
      <w:bCs/>
      <w:i/>
      <w:iCs/>
      <w:noProof/>
      <w:sz w:val="24"/>
      <w:szCs w:val="24"/>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8758">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56726384">
      <w:bodyDiv w:val="1"/>
      <w:marLeft w:val="0"/>
      <w:marRight w:val="0"/>
      <w:marTop w:val="0"/>
      <w:marBottom w:val="0"/>
      <w:divBdr>
        <w:top w:val="none" w:sz="0" w:space="0" w:color="auto"/>
        <w:left w:val="none" w:sz="0" w:space="0" w:color="auto"/>
        <w:bottom w:val="none" w:sz="0" w:space="0" w:color="auto"/>
        <w:right w:val="none" w:sz="0" w:space="0" w:color="auto"/>
      </w:divBdr>
    </w:div>
    <w:div w:id="170533250">
      <w:bodyDiv w:val="1"/>
      <w:marLeft w:val="0"/>
      <w:marRight w:val="0"/>
      <w:marTop w:val="0"/>
      <w:marBottom w:val="0"/>
      <w:divBdr>
        <w:top w:val="none" w:sz="0" w:space="0" w:color="auto"/>
        <w:left w:val="none" w:sz="0" w:space="0" w:color="auto"/>
        <w:bottom w:val="none" w:sz="0" w:space="0" w:color="auto"/>
        <w:right w:val="none" w:sz="0" w:space="0" w:color="auto"/>
      </w:divBdr>
    </w:div>
    <w:div w:id="177353155">
      <w:bodyDiv w:val="1"/>
      <w:marLeft w:val="0"/>
      <w:marRight w:val="0"/>
      <w:marTop w:val="0"/>
      <w:marBottom w:val="0"/>
      <w:divBdr>
        <w:top w:val="none" w:sz="0" w:space="0" w:color="auto"/>
        <w:left w:val="none" w:sz="0" w:space="0" w:color="auto"/>
        <w:bottom w:val="none" w:sz="0" w:space="0" w:color="auto"/>
        <w:right w:val="none" w:sz="0" w:space="0" w:color="auto"/>
      </w:divBdr>
    </w:div>
    <w:div w:id="205141068">
      <w:bodyDiv w:val="1"/>
      <w:marLeft w:val="0"/>
      <w:marRight w:val="0"/>
      <w:marTop w:val="0"/>
      <w:marBottom w:val="0"/>
      <w:divBdr>
        <w:top w:val="none" w:sz="0" w:space="0" w:color="auto"/>
        <w:left w:val="none" w:sz="0" w:space="0" w:color="auto"/>
        <w:bottom w:val="none" w:sz="0" w:space="0" w:color="auto"/>
        <w:right w:val="none" w:sz="0" w:space="0" w:color="auto"/>
      </w:divBdr>
    </w:div>
    <w:div w:id="229198234">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78070688">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317609567">
      <w:bodyDiv w:val="1"/>
      <w:marLeft w:val="0"/>
      <w:marRight w:val="0"/>
      <w:marTop w:val="0"/>
      <w:marBottom w:val="0"/>
      <w:divBdr>
        <w:top w:val="none" w:sz="0" w:space="0" w:color="auto"/>
        <w:left w:val="none" w:sz="0" w:space="0" w:color="auto"/>
        <w:bottom w:val="none" w:sz="0" w:space="0" w:color="auto"/>
        <w:right w:val="none" w:sz="0" w:space="0" w:color="auto"/>
      </w:divBdr>
    </w:div>
    <w:div w:id="320164604">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50883556">
      <w:bodyDiv w:val="1"/>
      <w:marLeft w:val="0"/>
      <w:marRight w:val="0"/>
      <w:marTop w:val="0"/>
      <w:marBottom w:val="0"/>
      <w:divBdr>
        <w:top w:val="none" w:sz="0" w:space="0" w:color="auto"/>
        <w:left w:val="none" w:sz="0" w:space="0" w:color="auto"/>
        <w:bottom w:val="none" w:sz="0" w:space="0" w:color="auto"/>
        <w:right w:val="none" w:sz="0" w:space="0" w:color="auto"/>
      </w:divBdr>
    </w:div>
    <w:div w:id="379981392">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8891328">
      <w:bodyDiv w:val="1"/>
      <w:marLeft w:val="0"/>
      <w:marRight w:val="0"/>
      <w:marTop w:val="0"/>
      <w:marBottom w:val="0"/>
      <w:divBdr>
        <w:top w:val="none" w:sz="0" w:space="0" w:color="auto"/>
        <w:left w:val="none" w:sz="0" w:space="0" w:color="auto"/>
        <w:bottom w:val="none" w:sz="0" w:space="0" w:color="auto"/>
        <w:right w:val="none" w:sz="0" w:space="0" w:color="auto"/>
      </w:divBdr>
    </w:div>
    <w:div w:id="413162772">
      <w:bodyDiv w:val="1"/>
      <w:marLeft w:val="0"/>
      <w:marRight w:val="0"/>
      <w:marTop w:val="0"/>
      <w:marBottom w:val="0"/>
      <w:divBdr>
        <w:top w:val="none" w:sz="0" w:space="0" w:color="auto"/>
        <w:left w:val="none" w:sz="0" w:space="0" w:color="auto"/>
        <w:bottom w:val="none" w:sz="0" w:space="0" w:color="auto"/>
        <w:right w:val="none" w:sz="0" w:space="0" w:color="auto"/>
      </w:divBdr>
    </w:div>
    <w:div w:id="415131721">
      <w:bodyDiv w:val="1"/>
      <w:marLeft w:val="0"/>
      <w:marRight w:val="0"/>
      <w:marTop w:val="0"/>
      <w:marBottom w:val="0"/>
      <w:divBdr>
        <w:top w:val="none" w:sz="0" w:space="0" w:color="auto"/>
        <w:left w:val="none" w:sz="0" w:space="0" w:color="auto"/>
        <w:bottom w:val="none" w:sz="0" w:space="0" w:color="auto"/>
        <w:right w:val="none" w:sz="0" w:space="0" w:color="auto"/>
      </w:divBdr>
    </w:div>
    <w:div w:id="459494398">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21820934">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606737369">
      <w:bodyDiv w:val="1"/>
      <w:marLeft w:val="0"/>
      <w:marRight w:val="0"/>
      <w:marTop w:val="0"/>
      <w:marBottom w:val="0"/>
      <w:divBdr>
        <w:top w:val="none" w:sz="0" w:space="0" w:color="auto"/>
        <w:left w:val="none" w:sz="0" w:space="0" w:color="auto"/>
        <w:bottom w:val="none" w:sz="0" w:space="0" w:color="auto"/>
        <w:right w:val="none" w:sz="0" w:space="0" w:color="auto"/>
      </w:divBdr>
    </w:div>
    <w:div w:id="644819125">
      <w:bodyDiv w:val="1"/>
      <w:marLeft w:val="0"/>
      <w:marRight w:val="0"/>
      <w:marTop w:val="0"/>
      <w:marBottom w:val="0"/>
      <w:divBdr>
        <w:top w:val="none" w:sz="0" w:space="0" w:color="auto"/>
        <w:left w:val="none" w:sz="0" w:space="0" w:color="auto"/>
        <w:bottom w:val="none" w:sz="0" w:space="0" w:color="auto"/>
        <w:right w:val="none" w:sz="0" w:space="0" w:color="auto"/>
      </w:divBdr>
    </w:div>
    <w:div w:id="657073925">
      <w:bodyDiv w:val="1"/>
      <w:marLeft w:val="0"/>
      <w:marRight w:val="0"/>
      <w:marTop w:val="0"/>
      <w:marBottom w:val="0"/>
      <w:divBdr>
        <w:top w:val="none" w:sz="0" w:space="0" w:color="auto"/>
        <w:left w:val="none" w:sz="0" w:space="0" w:color="auto"/>
        <w:bottom w:val="none" w:sz="0" w:space="0" w:color="auto"/>
        <w:right w:val="none" w:sz="0" w:space="0" w:color="auto"/>
      </w:divBdr>
    </w:div>
    <w:div w:id="674844785">
      <w:bodyDiv w:val="1"/>
      <w:marLeft w:val="0"/>
      <w:marRight w:val="0"/>
      <w:marTop w:val="0"/>
      <w:marBottom w:val="0"/>
      <w:divBdr>
        <w:top w:val="none" w:sz="0" w:space="0" w:color="auto"/>
        <w:left w:val="none" w:sz="0" w:space="0" w:color="auto"/>
        <w:bottom w:val="none" w:sz="0" w:space="0" w:color="auto"/>
        <w:right w:val="none" w:sz="0" w:space="0" w:color="auto"/>
      </w:divBdr>
    </w:div>
    <w:div w:id="701982417">
      <w:bodyDiv w:val="1"/>
      <w:marLeft w:val="0"/>
      <w:marRight w:val="0"/>
      <w:marTop w:val="0"/>
      <w:marBottom w:val="0"/>
      <w:divBdr>
        <w:top w:val="none" w:sz="0" w:space="0" w:color="auto"/>
        <w:left w:val="none" w:sz="0" w:space="0" w:color="auto"/>
        <w:bottom w:val="none" w:sz="0" w:space="0" w:color="auto"/>
        <w:right w:val="none" w:sz="0" w:space="0" w:color="auto"/>
      </w:divBdr>
    </w:div>
    <w:div w:id="736438768">
      <w:bodyDiv w:val="1"/>
      <w:marLeft w:val="0"/>
      <w:marRight w:val="0"/>
      <w:marTop w:val="0"/>
      <w:marBottom w:val="0"/>
      <w:divBdr>
        <w:top w:val="none" w:sz="0" w:space="0" w:color="auto"/>
        <w:left w:val="none" w:sz="0" w:space="0" w:color="auto"/>
        <w:bottom w:val="none" w:sz="0" w:space="0" w:color="auto"/>
        <w:right w:val="none" w:sz="0" w:space="0" w:color="auto"/>
      </w:divBdr>
    </w:div>
    <w:div w:id="742141844">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7134352">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1006176721">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154418276">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8911552">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07853726">
      <w:bodyDiv w:val="1"/>
      <w:marLeft w:val="0"/>
      <w:marRight w:val="0"/>
      <w:marTop w:val="0"/>
      <w:marBottom w:val="0"/>
      <w:divBdr>
        <w:top w:val="none" w:sz="0" w:space="0" w:color="auto"/>
        <w:left w:val="none" w:sz="0" w:space="0" w:color="auto"/>
        <w:bottom w:val="none" w:sz="0" w:space="0" w:color="auto"/>
        <w:right w:val="none" w:sz="0" w:space="0" w:color="auto"/>
      </w:divBdr>
    </w:div>
    <w:div w:id="1324432633">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438208906">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13567541">
      <w:bodyDiv w:val="1"/>
      <w:marLeft w:val="0"/>
      <w:marRight w:val="0"/>
      <w:marTop w:val="0"/>
      <w:marBottom w:val="0"/>
      <w:divBdr>
        <w:top w:val="none" w:sz="0" w:space="0" w:color="auto"/>
        <w:left w:val="none" w:sz="0" w:space="0" w:color="auto"/>
        <w:bottom w:val="none" w:sz="0" w:space="0" w:color="auto"/>
        <w:right w:val="none" w:sz="0" w:space="0" w:color="auto"/>
      </w:divBdr>
    </w:div>
    <w:div w:id="1521972858">
      <w:bodyDiv w:val="1"/>
      <w:marLeft w:val="0"/>
      <w:marRight w:val="0"/>
      <w:marTop w:val="0"/>
      <w:marBottom w:val="0"/>
      <w:divBdr>
        <w:top w:val="none" w:sz="0" w:space="0" w:color="auto"/>
        <w:left w:val="none" w:sz="0" w:space="0" w:color="auto"/>
        <w:bottom w:val="none" w:sz="0" w:space="0" w:color="auto"/>
        <w:right w:val="none" w:sz="0" w:space="0" w:color="auto"/>
      </w:divBdr>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18441298">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725789711">
      <w:bodyDiv w:val="1"/>
      <w:marLeft w:val="0"/>
      <w:marRight w:val="0"/>
      <w:marTop w:val="0"/>
      <w:marBottom w:val="0"/>
      <w:divBdr>
        <w:top w:val="none" w:sz="0" w:space="0" w:color="auto"/>
        <w:left w:val="none" w:sz="0" w:space="0" w:color="auto"/>
        <w:bottom w:val="none" w:sz="0" w:space="0" w:color="auto"/>
        <w:right w:val="none" w:sz="0" w:space="0" w:color="auto"/>
      </w:divBdr>
    </w:div>
    <w:div w:id="1732390217">
      <w:bodyDiv w:val="1"/>
      <w:marLeft w:val="0"/>
      <w:marRight w:val="0"/>
      <w:marTop w:val="0"/>
      <w:marBottom w:val="0"/>
      <w:divBdr>
        <w:top w:val="none" w:sz="0" w:space="0" w:color="auto"/>
        <w:left w:val="none" w:sz="0" w:space="0" w:color="auto"/>
        <w:bottom w:val="none" w:sz="0" w:space="0" w:color="auto"/>
        <w:right w:val="none" w:sz="0" w:space="0" w:color="auto"/>
      </w:divBdr>
    </w:div>
    <w:div w:id="1878812550">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13808932">
      <w:bodyDiv w:val="1"/>
      <w:marLeft w:val="0"/>
      <w:marRight w:val="0"/>
      <w:marTop w:val="0"/>
      <w:marBottom w:val="0"/>
      <w:divBdr>
        <w:top w:val="none" w:sz="0" w:space="0" w:color="auto"/>
        <w:left w:val="none" w:sz="0" w:space="0" w:color="auto"/>
        <w:bottom w:val="none" w:sz="0" w:space="0" w:color="auto"/>
        <w:right w:val="none" w:sz="0" w:space="0" w:color="auto"/>
      </w:divBdr>
    </w:div>
    <w:div w:id="1941719563">
      <w:bodyDiv w:val="1"/>
      <w:marLeft w:val="0"/>
      <w:marRight w:val="0"/>
      <w:marTop w:val="0"/>
      <w:marBottom w:val="0"/>
      <w:divBdr>
        <w:top w:val="none" w:sz="0" w:space="0" w:color="auto"/>
        <w:left w:val="none" w:sz="0" w:space="0" w:color="auto"/>
        <w:bottom w:val="none" w:sz="0" w:space="0" w:color="auto"/>
        <w:right w:val="none" w:sz="0" w:space="0" w:color="auto"/>
      </w:divBdr>
    </w:div>
    <w:div w:id="2008290461">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09305722">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ffe.ta-cayenne@juradm.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5D019-72B2-4AC4-AD65-040DD805F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2559</Words>
  <Characters>14079</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cp:lastModifiedBy>
  <cp:revision>16</cp:revision>
  <dcterms:created xsi:type="dcterms:W3CDTF">2025-06-03T12:25:00Z</dcterms:created>
  <dcterms:modified xsi:type="dcterms:W3CDTF">2025-06-29T20:36:00Z</dcterms:modified>
</cp:coreProperties>
</file>